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7649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64921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Lucas Bruce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00"/>
        <w:spacing w:after="0" w:line="380" w:lineRule="auto"/>
        <w:rPr>
          <w:sz w:val="20"/>
          <w:szCs w:val="20"/>
          <w:color w:val="auto"/>
        </w:rPr>
      </w:pPr>
      <w:r>
        <w:rPr>
          <w:rFonts w:ascii="Times New Roman" w:cs="Times New Roman" w:eastAsia="Times New Roman" w:hAnsi="Times New Roman"/>
          <w:sz w:val="16"/>
          <w:szCs w:val="16"/>
          <w:color w:val="0000FF"/>
        </w:rPr>
        <w:t>C/O SLIDE INSURANCE HOLDINGS, INC. 4221 W. BOY SCOUT BLVD., SUITE 200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33607</w:t>
            </w:r>
          </w:p>
        </w:tc>
      </w:tr>
      <w:tr>
        <w:trPr>
          <w:trHeight w:val="149"/>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Slide Insurance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SLDE</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80" w:type="dxa"/>
            <w:vAlign w:val="bottom"/>
            <w:tcBorders>
              <w:bottom w:val="single" w:sz="8" w:color="2C2C2C"/>
            </w:tcBorders>
          </w:tcPr>
          <w:p>
            <w:pPr>
              <w:spacing w:after="0"/>
              <w:rPr>
                <w:sz w:val="16"/>
                <w:szCs w:val="16"/>
                <w:color w:val="auto"/>
              </w:rPr>
            </w:pPr>
          </w:p>
        </w:tc>
        <w:tc>
          <w:tcPr>
            <w:tcW w:w="126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05/31/2026</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740" w:type="dxa"/>
            <w:vAlign w:val="bottom"/>
          </w:tcPr>
          <w:p>
            <w:pPr>
              <w:jc w:val="center"/>
              <w:ind w:left="5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05/31/2026</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22,919</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1,174,364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05/31/2026</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9,019</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18.03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1,165,345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IIM</w:t>
            </w:r>
          </w:p>
        </w:tc>
        <w:tc>
          <w:tcPr>
            <w:tcW w:w="0" w:type="dxa"/>
            <w:vAlign w:val="bottom"/>
          </w:tcPr>
          <w:p>
            <w:pPr>
              <w:spacing w:after="0"/>
              <w:rPr>
                <w:sz w:val="1"/>
                <w:szCs w:val="1"/>
                <w:color w:val="auto"/>
              </w:rPr>
            </w:pPr>
          </w:p>
        </w:tc>
      </w:tr>
      <w:tr>
        <w:trPr>
          <w:trHeight w:val="207"/>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34,743,361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77"/>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II, LLC</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46"/>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vMerge w:val="restart"/>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05/31/2026</w:t>
            </w:r>
          </w:p>
        </w:tc>
        <w:tc>
          <w:tcPr>
            <w:tcW w:w="108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22,919</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233,900</w:t>
            </w:r>
            <w:r>
              <w:rPr>
                <w:rFonts w:ascii="Times New Roman" w:cs="Times New Roman" w:eastAsia="Times New Roman" w:hAnsi="Times New Roman"/>
                <w:sz w:val="21"/>
                <w:szCs w:val="21"/>
                <w:color w:val="008000"/>
                <w:w w:val="94"/>
                <w:vertAlign w:val="superscript"/>
              </w:rPr>
              <w:t>(2)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4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09"/>
        </w:trPr>
        <w:tc>
          <w:tcPr>
            <w:tcW w:w="244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1,142,473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Emma</w:t>
            </w:r>
          </w:p>
        </w:tc>
        <w:tc>
          <w:tcPr>
            <w:tcW w:w="0" w:type="dxa"/>
            <w:vAlign w:val="bottom"/>
          </w:tcPr>
          <w:p>
            <w:pPr>
              <w:spacing w:after="0"/>
              <w:rPr>
                <w:sz w:val="1"/>
                <w:szCs w:val="1"/>
                <w:color w:val="auto"/>
              </w:rPr>
            </w:pPr>
          </w:p>
        </w:tc>
      </w:tr>
      <w:tr>
        <w:trPr>
          <w:trHeight w:val="207"/>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92"/>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46"/>
        </w:trPr>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Ava</w:t>
            </w:r>
          </w:p>
        </w:tc>
        <w:tc>
          <w:tcPr>
            <w:tcW w:w="0" w:type="dxa"/>
            <w:vAlign w:val="bottom"/>
          </w:tcPr>
          <w:p>
            <w:pPr>
              <w:spacing w:after="0"/>
              <w:rPr>
                <w:sz w:val="1"/>
                <w:szCs w:val="1"/>
                <w:color w:val="auto"/>
              </w:rPr>
            </w:pPr>
          </w:p>
        </w:tc>
      </w:tr>
      <w:tr>
        <w:trPr>
          <w:trHeight w:val="207"/>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1,925,000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Cloonen</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03"/>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(6)</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05/31/2026</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22,919</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22,919</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162,388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05/31/2026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22,919</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22,919</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162,388</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Stock Unit</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ind w:left="18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ind w:left="80"/>
              <w:spacing w:after="0" w:line="65" w:lineRule="exact"/>
              <w:rPr>
                <w:sz w:val="20"/>
                <w:szCs w:val="20"/>
                <w:color w:val="auto"/>
              </w:rPr>
            </w:pPr>
            <w:r>
              <w:rPr>
                <w:rFonts w:ascii="Times New Roman" w:cs="Times New Roman" w:eastAsia="Times New Roman" w:hAnsi="Times New Roman"/>
                <w:sz w:val="6"/>
                <w:szCs w:val="6"/>
                <w:color w:val="0000FF"/>
              </w:rPr>
              <w:t>Spouse</w:t>
            </w:r>
            <w:r>
              <w:rPr>
                <w:rFonts w:ascii="Times New Roman" w:cs="Times New Roman" w:eastAsia="Times New Roman" w:hAnsi="Times New Roman"/>
                <w:sz w:val="7"/>
                <w:szCs w:val="7"/>
                <w:color w:val="008000"/>
                <w:vertAlign w:val="superscript"/>
              </w:rPr>
              <w:t>(3)</w:t>
            </w: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IIM Holdings II, LLC, which is an entity controlled by the Reporting Person.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shown reflects the amount owned by the Reporting Person's spouse after the vesting of 22,919 restricted stock units on May 31, 2026 and the withholding of 9,019 shares of common stock for the payment of the tax liability associated therewith.</w:t>
      </w:r>
    </w:p>
    <w:p>
      <w:pPr>
        <w:spacing w:after="0" w:line="16"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of common stock beneficially owned by the Reporting Person's spouse through Securus Risk Management LLC. The Reporting Person disclaims beneficial ownership of these securities</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3"/>
          <w:szCs w:val="13"/>
          <w:color w:val="008000"/>
        </w:rPr>
        <w:t>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7" w:lineRule="exact"/>
        <w:rPr>
          <w:sz w:val="20"/>
          <w:szCs w:val="20"/>
          <w:color w:val="auto"/>
        </w:rPr>
      </w:pPr>
    </w:p>
    <w:p>
      <w:pPr>
        <w:jc w:val="both"/>
        <w:ind w:right="2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Emma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right="2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held through the Ava Cloonen Irrevocable Trust, of which the Reporting Person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right="280" w:firstLine="2"/>
        <w:spacing w:after="0" w:line="248"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vest in 24 equal monthly installments commencing on January 1, 2025 and ending on December 31, 2026, subject to the Reporting Person's continued employment or service through each applicable vesting date.</w:t>
      </w:r>
    </w:p>
    <w:p>
      <w:pPr>
        <w:ind w:left="6560"/>
        <w:spacing w:after="0" w:line="180" w:lineRule="auto"/>
        <w:rPr>
          <w:sz w:val="20"/>
          <w:szCs w:val="20"/>
          <w:color w:val="auto"/>
        </w:rPr>
      </w:pPr>
      <w:r>
        <w:rPr>
          <w:rFonts w:ascii="Times New Roman" w:cs="Times New Roman" w:eastAsia="Times New Roman" w:hAnsi="Times New Roman"/>
          <w:sz w:val="16"/>
          <w:szCs w:val="16"/>
          <w:color w:val="0000FF"/>
        </w:rPr>
        <w:t xml:space="preserve">/s/ Andy Omiridis, Attorney-in- </w:t>
      </w:r>
      <w:r>
        <w:rPr>
          <w:rFonts w:ascii="Times New Roman" w:cs="Times New Roman" w:eastAsia="Times New Roman" w:hAnsi="Times New Roman"/>
          <w:sz w:val="32"/>
          <w:szCs w:val="32"/>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55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Bruce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896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6620"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6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52968" TargetMode="External"/><Relationship Id="rId14" Type="http://schemas.openxmlformats.org/officeDocument/2006/relationships/hyperlink" Target="http://www.sec.gov/cgi-bin/browse-edgar?action=getcompany&amp;CIK=0001886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2026-06-02T19:51:16Z</dcterms:created>
  <dcterms:modified xsi:type="dcterms:W3CDTF">2026-06-02T19:51:16Z</dcterms:modified>
</cp:coreProperties>
</file>