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731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73100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Shannon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00"/>
        <w:spacing w:after="0" w:line="380" w:lineRule="auto"/>
        <w:rPr>
          <w:sz w:val="20"/>
          <w:szCs w:val="20"/>
          <w:color w:val="auto"/>
        </w:rPr>
      </w:pPr>
      <w:r>
        <w:rPr>
          <w:rFonts w:ascii="Times New Roman" w:cs="Times New Roman" w:eastAsia="Times New Roman" w:hAnsi="Times New Roman"/>
          <w:sz w:val="16"/>
          <w:szCs w:val="16"/>
          <w:color w:val="0000FF"/>
        </w:rPr>
        <w:t>C/O SLIDE INSURANCE HOLDINGS, INC. 4221 W. BOY SCOUT BLVD., SUITE 200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33607</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Slide Insurance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SLDE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8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05/31/2026</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President &amp; COO</w:t>
            </w: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340"/>
              <w:spacing w:after="0" w:line="128" w:lineRule="exact"/>
              <w:rPr>
                <w:sz w:val="20"/>
                <w:szCs w:val="20"/>
                <w:color w:val="auto"/>
              </w:rPr>
            </w:pPr>
            <w:r>
              <w:rPr>
                <w:rFonts w:ascii="Arial" w:cs="Arial" w:eastAsia="Arial" w:hAnsi="Arial"/>
                <w:sz w:val="12"/>
                <w:szCs w:val="12"/>
                <w:b w:val="1"/>
                <w:bCs w:val="1"/>
                <w:color w:val="auto"/>
              </w:rPr>
              <w:t>Form: Direct</w:t>
            </w:r>
          </w:p>
        </w:tc>
        <w:tc>
          <w:tcPr>
            <w:tcW w:w="5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6"/>
              </w:rPr>
              <w:t>Indirect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1140" w:type="dxa"/>
            <w:vAlign w:val="bottom"/>
            <w:gridSpan w:val="2"/>
          </w:tcPr>
          <w:p>
            <w:pPr>
              <w:jc w:val="center"/>
              <w:ind w:left="241"/>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2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2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gridSpan w:val="4"/>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2"/>
              </w:rPr>
              <w:t>(Instr. 3 and 4)</w:t>
            </w: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22,919</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2"/>
                <w:szCs w:val="22"/>
                <w:color w:val="auto"/>
              </w:rPr>
            </w:pPr>
          </w:p>
        </w:tc>
        <w:tc>
          <w:tcPr>
            <w:tcW w:w="560" w:type="dxa"/>
            <w:vAlign w:val="bottom"/>
          </w:tcPr>
          <w:p>
            <w:pPr>
              <w:jc w:val="center"/>
              <w:ind w:righ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2"/>
                <w:szCs w:val="22"/>
                <w:color w:val="auto"/>
              </w:rPr>
            </w:pPr>
          </w:p>
        </w:tc>
        <w:tc>
          <w:tcPr>
            <w:tcW w:w="800" w:type="dxa"/>
            <w:vAlign w:val="bottom"/>
            <w:gridSpan w:val="2"/>
          </w:tcPr>
          <w:p>
            <w:pPr>
              <w:jc w:val="center"/>
              <w:ind w:left="151"/>
              <w:spacing w:after="0"/>
              <w:rPr>
                <w:sz w:val="20"/>
                <w:szCs w:val="20"/>
                <w:color w:val="auto"/>
              </w:rPr>
            </w:pPr>
            <w:r>
              <w:rPr>
                <w:rFonts w:ascii="Times New Roman" w:cs="Times New Roman" w:eastAsia="Times New Roman" w:hAnsi="Times New Roman"/>
                <w:sz w:val="17"/>
                <w:szCs w:val="17"/>
                <w:color w:val="0000FF"/>
                <w:w w:val="97"/>
              </w:rPr>
              <w:t>242,919</w:t>
            </w:r>
          </w:p>
        </w:tc>
        <w:tc>
          <w:tcPr>
            <w:tcW w:w="660" w:type="dxa"/>
            <w:vAlign w:val="bottom"/>
          </w:tcPr>
          <w:p>
            <w:pPr>
              <w:spacing w:after="0"/>
              <w:rPr>
                <w:sz w:val="22"/>
                <w:szCs w:val="22"/>
                <w:color w:val="auto"/>
              </w:rPr>
            </w:pPr>
          </w:p>
        </w:tc>
        <w:tc>
          <w:tcPr>
            <w:tcW w:w="4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9,019</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22"/>
                <w:szCs w:val="22"/>
                <w:color w:val="auto"/>
              </w:rPr>
            </w:pPr>
          </w:p>
        </w:tc>
        <w:tc>
          <w:tcPr>
            <w:tcW w:w="560" w:type="dxa"/>
            <w:vAlign w:val="bottom"/>
          </w:tcPr>
          <w:p>
            <w:pPr>
              <w:jc w:val="center"/>
              <w:ind w:righ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18.03</w:t>
            </w:r>
          </w:p>
        </w:tc>
        <w:tc>
          <w:tcPr>
            <w:tcW w:w="60" w:type="dxa"/>
            <w:vAlign w:val="bottom"/>
          </w:tcPr>
          <w:p>
            <w:pPr>
              <w:spacing w:after="0"/>
              <w:rPr>
                <w:sz w:val="22"/>
                <w:szCs w:val="22"/>
                <w:color w:val="auto"/>
              </w:rPr>
            </w:pPr>
          </w:p>
        </w:tc>
        <w:tc>
          <w:tcPr>
            <w:tcW w:w="800" w:type="dxa"/>
            <w:vAlign w:val="bottom"/>
            <w:gridSpan w:val="2"/>
          </w:tcPr>
          <w:p>
            <w:pPr>
              <w:jc w:val="center"/>
              <w:ind w:left="151"/>
              <w:spacing w:after="0"/>
              <w:rPr>
                <w:sz w:val="20"/>
                <w:szCs w:val="20"/>
                <w:color w:val="auto"/>
              </w:rPr>
            </w:pPr>
            <w:r>
              <w:rPr>
                <w:rFonts w:ascii="Times New Roman" w:cs="Times New Roman" w:eastAsia="Times New Roman" w:hAnsi="Times New Roman"/>
                <w:sz w:val="17"/>
                <w:szCs w:val="17"/>
                <w:color w:val="0000FF"/>
                <w:w w:val="97"/>
              </w:rPr>
              <w:t>233,900</w:t>
            </w:r>
          </w:p>
        </w:tc>
        <w:tc>
          <w:tcPr>
            <w:tcW w:w="660" w:type="dxa"/>
            <w:vAlign w:val="bottom"/>
          </w:tcPr>
          <w:p>
            <w:pPr>
              <w:spacing w:after="0"/>
              <w:rPr>
                <w:sz w:val="22"/>
                <w:szCs w:val="22"/>
                <w:color w:val="auto"/>
              </w:rPr>
            </w:pPr>
          </w:p>
        </w:tc>
        <w:tc>
          <w:tcPr>
            <w:tcW w:w="4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Securus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3"/>
            <w:vMerge w:val="restart"/>
          </w:tcPr>
          <w:p>
            <w:pPr>
              <w:jc w:val="center"/>
              <w:ind w:right="381"/>
              <w:spacing w:after="0"/>
              <w:rPr>
                <w:sz w:val="20"/>
                <w:szCs w:val="20"/>
                <w:color w:val="auto"/>
              </w:rPr>
            </w:pPr>
            <w:r>
              <w:rPr>
                <w:rFonts w:ascii="Times New Roman" w:cs="Times New Roman" w:eastAsia="Times New Roman" w:hAnsi="Times New Roman"/>
                <w:sz w:val="17"/>
                <w:szCs w:val="17"/>
                <w:color w:val="0000FF"/>
                <w:w w:val="96"/>
              </w:rPr>
              <w:t>1,142,473</w:t>
            </w:r>
          </w:p>
        </w:tc>
        <w:tc>
          <w:tcPr>
            <w:tcW w:w="480" w:type="dxa"/>
            <w:vAlign w:val="bottom"/>
            <w:vMerge w:val="restart"/>
          </w:tcPr>
          <w:p>
            <w:pPr>
              <w:jc w:val="center"/>
              <w:ind w:right="267"/>
              <w:spacing w:after="0"/>
              <w:rPr>
                <w:sz w:val="20"/>
                <w:szCs w:val="20"/>
                <w:color w:val="auto"/>
              </w:rPr>
            </w:pPr>
            <w:r>
              <w:rPr>
                <w:rFonts w:ascii="Times New Roman" w:cs="Times New Roman" w:eastAsia="Times New Roman" w:hAnsi="Times New Roman"/>
                <w:sz w:val="17"/>
                <w:szCs w:val="17"/>
                <w:color w:val="0000FF"/>
              </w:rPr>
              <w:t>I</w:t>
            </w:r>
          </w:p>
        </w:tc>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Risk</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100"/>
              <w:spacing w:after="0" w:line="271"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22,919</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jc w:val="center"/>
              <w:ind w:right="401"/>
              <w:spacing w:after="0"/>
              <w:rPr>
                <w:sz w:val="20"/>
                <w:szCs w:val="20"/>
                <w:color w:val="auto"/>
              </w:rPr>
            </w:pPr>
            <w:r>
              <w:rPr>
                <w:rFonts w:ascii="Times New Roman" w:cs="Times New Roman" w:eastAsia="Times New Roman" w:hAnsi="Times New Roman"/>
                <w:sz w:val="17"/>
                <w:szCs w:val="17"/>
                <w:color w:val="0000FF"/>
                <w:w w:val="94"/>
              </w:rPr>
              <w:t>1,165,345</w:t>
            </w:r>
            <w:r>
              <w:rPr>
                <w:rFonts w:ascii="Times New Roman" w:cs="Times New Roman" w:eastAsia="Times New Roman" w:hAnsi="Times New Roman"/>
                <w:sz w:val="21"/>
                <w:szCs w:val="21"/>
                <w:color w:val="008000"/>
                <w:w w:val="94"/>
                <w:vertAlign w:val="superscript"/>
              </w:rPr>
              <w:t>(2)</w:t>
            </w:r>
          </w:p>
        </w:tc>
        <w:tc>
          <w:tcPr>
            <w:tcW w:w="480" w:type="dxa"/>
            <w:vAlign w:val="bottom"/>
            <w:tcBorders>
              <w:bottom w:val="single" w:sz="8" w:color="2C2C2C"/>
            </w:tcBorders>
          </w:tcPr>
          <w:p>
            <w:pPr>
              <w:jc w:val="center"/>
              <w:ind w:right="267"/>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jc w:val="center"/>
              <w:ind w:right="401"/>
              <w:spacing w:after="0"/>
              <w:rPr>
                <w:sz w:val="20"/>
                <w:szCs w:val="20"/>
                <w:color w:val="auto"/>
              </w:rPr>
            </w:pPr>
            <w:r>
              <w:rPr>
                <w:rFonts w:ascii="Times New Roman" w:cs="Times New Roman" w:eastAsia="Times New Roman" w:hAnsi="Times New Roman"/>
                <w:sz w:val="17"/>
                <w:szCs w:val="17"/>
                <w:color w:val="0000FF"/>
                <w:w w:val="99"/>
              </w:rPr>
              <w:t>34,743,361</w:t>
            </w:r>
          </w:p>
        </w:tc>
        <w:tc>
          <w:tcPr>
            <w:tcW w:w="480" w:type="dxa"/>
            <w:vAlign w:val="bottom"/>
            <w:tcBorders>
              <w:bottom w:val="single" w:sz="8" w:color="2C2C2C"/>
            </w:tcBorders>
          </w:tcPr>
          <w:p>
            <w:pPr>
              <w:jc w:val="center"/>
              <w:ind w:right="267"/>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jc w:val="center"/>
              <w:ind w:right="381"/>
              <w:spacing w:after="0"/>
              <w:rPr>
                <w:sz w:val="20"/>
                <w:szCs w:val="20"/>
                <w:color w:val="auto"/>
              </w:rPr>
            </w:pPr>
            <w:r>
              <w:rPr>
                <w:rFonts w:ascii="Times New Roman" w:cs="Times New Roman" w:eastAsia="Times New Roman" w:hAnsi="Times New Roman"/>
                <w:sz w:val="17"/>
                <w:szCs w:val="17"/>
                <w:color w:val="0000FF"/>
                <w:w w:val="96"/>
              </w:rPr>
              <w:t>1,925,000</w:t>
            </w:r>
          </w:p>
        </w:tc>
        <w:tc>
          <w:tcPr>
            <w:tcW w:w="480" w:type="dxa"/>
            <w:vAlign w:val="bottom"/>
            <w:tcBorders>
              <w:bottom w:val="single" w:sz="8" w:color="2C2C2C"/>
            </w:tcBorders>
          </w:tcPr>
          <w:p>
            <w:pPr>
              <w:jc w:val="center"/>
              <w:ind w:right="267"/>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jc w:val="center"/>
              <w:ind w:right="381"/>
              <w:spacing w:after="0"/>
              <w:rPr>
                <w:sz w:val="20"/>
                <w:szCs w:val="20"/>
                <w:color w:val="auto"/>
              </w:rPr>
            </w:pPr>
            <w:r>
              <w:rPr>
                <w:rFonts w:ascii="Times New Roman" w:cs="Times New Roman" w:eastAsia="Times New Roman" w:hAnsi="Times New Roman"/>
                <w:sz w:val="17"/>
                <w:szCs w:val="17"/>
                <w:color w:val="0000FF"/>
                <w:w w:val="96"/>
              </w:rPr>
              <w:t>1,925,000</w:t>
            </w:r>
          </w:p>
        </w:tc>
        <w:tc>
          <w:tcPr>
            <w:tcW w:w="480" w:type="dxa"/>
            <w:vAlign w:val="bottom"/>
            <w:tcBorders>
              <w:bottom w:val="single" w:sz="8" w:color="2C2C2C"/>
            </w:tcBorders>
          </w:tcPr>
          <w:p>
            <w:pPr>
              <w:jc w:val="center"/>
              <w:ind w:right="267"/>
              <w:spacing w:after="0"/>
              <w:rPr>
                <w:sz w:val="20"/>
                <w:szCs w:val="20"/>
                <w:color w:val="auto"/>
              </w:rPr>
            </w:pPr>
            <w:r>
              <w:rPr>
                <w:rFonts w:ascii="Times New Roman" w:cs="Times New Roman" w:eastAsia="Times New Roman" w:hAnsi="Times New Roman"/>
                <w:sz w:val="17"/>
                <w:szCs w:val="17"/>
                <w:color w:val="0000FF"/>
              </w:rPr>
              <w:t>I</w:t>
            </w:r>
          </w:p>
        </w:tc>
        <w:tc>
          <w:tcPr>
            <w:tcW w:w="1220" w:type="dxa"/>
            <w:vAlign w:val="bottom"/>
            <w:tcBorders>
              <w:bottom w:val="single" w:sz="8" w:color="2C2C2C"/>
            </w:tcBorders>
            <w:gridSpan w:val="4"/>
          </w:tcPr>
          <w:p>
            <w:pPr>
              <w:ind w:left="10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1"/>
          </w:tcPr>
          <w:p>
            <w:pPr>
              <w:ind w:left="7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7. Title and Amount</w:t>
            </w:r>
          </w:p>
        </w:tc>
        <w:tc>
          <w:tcPr>
            <w:tcW w:w="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4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05/31/2026</w:t>
            </w:r>
          </w:p>
        </w:tc>
        <w:tc>
          <w:tcPr>
            <w:tcW w:w="114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22,919</w:t>
            </w: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22,919</w:t>
            </w:r>
          </w:p>
        </w:tc>
        <w:tc>
          <w:tcPr>
            <w:tcW w:w="800" w:type="dxa"/>
            <w:vAlign w:val="bottom"/>
            <w:gridSpan w:val="2"/>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162,388</w:t>
            </w:r>
          </w:p>
        </w:tc>
        <w:tc>
          <w:tcPr>
            <w:tcW w:w="48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05/31/2026</w:t>
            </w:r>
          </w:p>
        </w:tc>
        <w:tc>
          <w:tcPr>
            <w:tcW w:w="1140" w:type="dxa"/>
            <w:vAlign w:val="bottom"/>
          </w:tcPr>
          <w:p>
            <w:pPr>
              <w:spacing w:after="0"/>
              <w:rPr>
                <w:sz w:val="15"/>
                <w:szCs w:val="15"/>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0000FF"/>
              </w:rPr>
              <w:t>22,919</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22,919</w:t>
            </w:r>
          </w:p>
        </w:tc>
        <w:tc>
          <w:tcPr>
            <w:tcW w:w="80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162,388</w:t>
            </w:r>
          </w:p>
        </w:tc>
        <w:tc>
          <w:tcPr>
            <w:tcW w:w="48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I</w:t>
            </w:r>
          </w:p>
        </w:tc>
        <w:tc>
          <w:tcPr>
            <w:tcW w:w="680" w:type="dxa"/>
            <w:vAlign w:val="bottom"/>
            <w:tcBorders>
              <w:right w:val="single" w:sz="8" w:color="2C2C2C"/>
            </w:tcBorders>
            <w:gridSpan w:val="3"/>
          </w:tcPr>
          <w:p>
            <w:pPr>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Stock Unit</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tcPr>
          <w:p>
            <w:pPr>
              <w:ind w:left="18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Borders>
              <w:right w:val="single" w:sz="8" w:color="2C2C2C"/>
            </w:tcBorders>
            <w:gridSpan w:val="3"/>
          </w:tcPr>
          <w:p>
            <w:pPr>
              <w:spacing w:after="0" w:line="65" w:lineRule="exact"/>
              <w:rPr>
                <w:sz w:val="20"/>
                <w:szCs w:val="20"/>
                <w:color w:val="auto"/>
              </w:rPr>
            </w:pPr>
            <w:r>
              <w:rPr>
                <w:rFonts w:ascii="Times New Roman" w:cs="Times New Roman" w:eastAsia="Times New Roman" w:hAnsi="Times New Roman"/>
                <w:sz w:val="6"/>
                <w:szCs w:val="6"/>
                <w:color w:val="0000FF"/>
              </w:rPr>
              <w:t>Spouse</w:t>
            </w:r>
            <w:r>
              <w:rPr>
                <w:rFonts w:ascii="Times New Roman" w:cs="Times New Roman" w:eastAsia="Times New Roman" w:hAnsi="Times New Roman"/>
                <w:sz w:val="7"/>
                <w:szCs w:val="7"/>
                <w:color w:val="008000"/>
                <w:vertAlign w:val="superscript"/>
              </w:rPr>
              <w:t>(3)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-2200910</wp:posOffset>
            </wp:positionV>
            <wp:extent cx="29210" cy="2205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59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9"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w:t>
      </w:r>
    </w:p>
    <w:p>
      <w:pPr>
        <w:ind w:left="200" w:hanging="15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30"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vesting of 22,919 restricted stock units on May 31, 2026 and the withholding of 9,019 shares of common stock for the payment of the tax liability associated therewith.</w:t>
      </w:r>
    </w:p>
    <w:p>
      <w:pPr>
        <w:spacing w:after="0" w:line="16"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2"/>
        <w:spacing w:after="0" w:line="248" w:lineRule="auto"/>
        <w:tabs>
          <w:tab w:leader="none" w:pos="129"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in 24 equal monthly installments commencing on January 1, 2025 and ending on December 31, 2026, subject to the Reporting Person's continued employment or service through each applicable vesting date.</w:t>
      </w:r>
    </w:p>
    <w:p>
      <w:pPr>
        <w:ind w:left="6560"/>
        <w:spacing w:after="0" w:line="180" w:lineRule="auto"/>
        <w:rPr>
          <w:sz w:val="20"/>
          <w:szCs w:val="20"/>
          <w:color w:val="auto"/>
        </w:rPr>
      </w:pPr>
      <w:r>
        <w:rPr>
          <w:rFonts w:ascii="Times New Roman" w:cs="Times New Roman" w:eastAsia="Times New Roman" w:hAnsi="Times New Roman"/>
          <w:sz w:val="16"/>
          <w:szCs w:val="16"/>
          <w:color w:val="0000FF"/>
        </w:rPr>
        <w:t xml:space="preserve">/s/ Andy Omiridis, Attorney-in-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Shannon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015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080" w:firstLine="2"/>
        <w:spacing w:after="0" w:line="336" w:lineRule="auto"/>
        <w:tabs>
          <w:tab w:leader="none" w:pos="136"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40"/>
      </w:cols>
      <w:pgMar w:left="500" w:top="12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6"/>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2356"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2026-06-02T19:51:12Z</dcterms:created>
  <dcterms:modified xsi:type="dcterms:W3CDTF">2026-06-02T19:51:12Z</dcterms:modified>
</cp:coreProperties>
</file>