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879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879590"/>
                    </a:xfrm>
                    <a:prstGeom prst="rect">
                      <a:avLst/>
                    </a:prstGeom>
                    <a:noFill/>
                  </pic:spPr>
                </pic:pic>
              </a:graphicData>
            </a:graphic>
          </wp:anchor>
        </w:drawing>
      </w:r>
    </w:p>
    <w:p>
      <w:pPr>
        <w:spacing w:after="0" w:line="1285" w:lineRule="exact"/>
        <w:rPr>
          <w:sz w:val="24"/>
          <w:szCs w:val="24"/>
          <w:color w:val="auto"/>
        </w:rPr>
      </w:pPr>
    </w:p>
    <w:p>
      <w:pPr>
        <w:sectPr>
          <w:pgSz w:w="11900" w:h="16921"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Lucas Shannon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SLIDE INSURANCE HOLDINGS, INC. 4221 W. BOY SCOUT BLVD., SUITE 200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33607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Slide Insurance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SLDE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60" w:type="dxa"/>
            <w:vAlign w:val="bottom"/>
            <w:tcBorders>
              <w:bottom w:val="single" w:sz="8" w:color="0000EE"/>
            </w:tcBorders>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60" w:type="dxa"/>
            <w:vAlign w:val="bottom"/>
            <w:tcBorders>
              <w:bottom w:val="single" w:sz="8" w:color="2C2C2C"/>
            </w:tcBorders>
          </w:tcPr>
          <w:p>
            <w:pPr>
              <w:spacing w:after="0"/>
              <w:rPr>
                <w:sz w:val="16"/>
                <w:szCs w:val="16"/>
                <w:color w:val="auto"/>
              </w:rPr>
            </w:pPr>
          </w:p>
        </w:tc>
        <w:tc>
          <w:tcPr>
            <w:tcW w:w="116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06/10/2026</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President &amp; COO</w:t>
            </w: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921"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32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Indirect</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 or</w:t>
            </w:r>
          </w:p>
        </w:tc>
        <w:tc>
          <w:tcPr>
            <w:tcW w:w="480" w:type="dxa"/>
            <w:vAlign w:val="bottom"/>
          </w:tcPr>
          <w:p>
            <w:pPr>
              <w:spacing w:after="0"/>
              <w:rPr>
                <w:sz w:val="11"/>
                <w:szCs w:val="11"/>
                <w:color w:val="auto"/>
              </w:rPr>
            </w:pP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12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9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22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Securus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06/10/2026</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18"/>
                <w:szCs w:val="18"/>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19,058</w:t>
            </w:r>
            <w:r>
              <w:rPr>
                <w:rFonts w:ascii="Times New Roman" w:cs="Times New Roman" w:eastAsia="Times New Roman" w:hAnsi="Times New Roman"/>
                <w:sz w:val="22"/>
                <w:szCs w:val="22"/>
                <w:color w:val="008000"/>
                <w:vertAlign w:val="superscript"/>
              </w:rPr>
              <w:t>(1)</w:t>
            </w:r>
          </w:p>
        </w:tc>
        <w:tc>
          <w:tcPr>
            <w:tcW w:w="340" w:type="dxa"/>
            <w:vAlign w:val="bottom"/>
            <w:vMerge w:val="restart"/>
          </w:tcPr>
          <w:p>
            <w:pPr>
              <w:jc w:val="center"/>
              <w:ind w:left="107"/>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17.03</w:t>
            </w:r>
            <w:r>
              <w:rPr>
                <w:rFonts w:ascii="Times New Roman" w:cs="Times New Roman" w:eastAsia="Times New Roman" w:hAnsi="Times New Roman"/>
                <w:sz w:val="22"/>
                <w:szCs w:val="22"/>
                <w:color w:val="008000"/>
                <w:vertAlign w:val="superscript"/>
              </w:rPr>
              <w:t>(2)</w:t>
            </w:r>
          </w:p>
        </w:tc>
        <w:tc>
          <w:tcPr>
            <w:tcW w:w="1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1,123,415</w:t>
            </w:r>
          </w:p>
        </w:tc>
        <w:tc>
          <w:tcPr>
            <w:tcW w:w="420" w:type="dxa"/>
            <w:vAlign w:val="bottom"/>
          </w:tcPr>
          <w:p>
            <w:pPr>
              <w:spacing w:after="0"/>
              <w:rPr>
                <w:sz w:val="18"/>
                <w:szCs w:val="18"/>
                <w:color w:val="auto"/>
              </w:rPr>
            </w:pPr>
          </w:p>
        </w:tc>
        <w:tc>
          <w:tcPr>
            <w:tcW w:w="480" w:type="dxa"/>
            <w:vAlign w:val="bottom"/>
            <w:vMerge w:val="restart"/>
          </w:tcPr>
          <w:p>
            <w:pPr>
              <w:jc w:val="center"/>
              <w:ind w:right="329"/>
              <w:spacing w:after="0"/>
              <w:rPr>
                <w:sz w:val="20"/>
                <w:szCs w:val="20"/>
                <w:color w:val="auto"/>
              </w:rPr>
            </w:pPr>
            <w:r>
              <w:rPr>
                <w:rFonts w:ascii="Times New Roman" w:cs="Times New Roman" w:eastAsia="Times New Roman" w:hAnsi="Times New Roman"/>
                <w:sz w:val="16"/>
                <w:szCs w:val="16"/>
                <w:color w:val="0000FF"/>
                <w:w w:val="74"/>
              </w:rPr>
              <w:t>I</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Risk</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Securus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06/11/2026</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18"/>
                <w:szCs w:val="18"/>
                <w:color w:val="auto"/>
              </w:rPr>
            </w:pPr>
          </w:p>
        </w:tc>
        <w:tc>
          <w:tcPr>
            <w:tcW w:w="800" w:type="dxa"/>
            <w:vAlign w:val="bottom"/>
            <w:vMerge w:val="restart"/>
          </w:tcPr>
          <w:p>
            <w:pPr>
              <w:jc w:val="center"/>
              <w:ind w:right="51"/>
              <w:spacing w:after="0"/>
              <w:rPr>
                <w:sz w:val="20"/>
                <w:szCs w:val="20"/>
                <w:color w:val="auto"/>
              </w:rPr>
            </w:pPr>
            <w:r>
              <w:rPr>
                <w:rFonts w:ascii="Times New Roman" w:cs="Times New Roman" w:eastAsia="Times New Roman" w:hAnsi="Times New Roman"/>
                <w:sz w:val="17"/>
                <w:szCs w:val="17"/>
                <w:color w:val="0000FF"/>
              </w:rPr>
              <w:t>4,659</w:t>
            </w:r>
            <w:r>
              <w:rPr>
                <w:rFonts w:ascii="Times New Roman" w:cs="Times New Roman" w:eastAsia="Times New Roman" w:hAnsi="Times New Roman"/>
                <w:sz w:val="22"/>
                <w:szCs w:val="22"/>
                <w:color w:val="008000"/>
                <w:vertAlign w:val="superscript"/>
              </w:rPr>
              <w:t>(1)</w:t>
            </w:r>
          </w:p>
        </w:tc>
        <w:tc>
          <w:tcPr>
            <w:tcW w:w="340" w:type="dxa"/>
            <w:vAlign w:val="bottom"/>
            <w:vMerge w:val="restart"/>
          </w:tcPr>
          <w:p>
            <w:pPr>
              <w:jc w:val="center"/>
              <w:ind w:left="107"/>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17.12</w:t>
            </w:r>
            <w:r>
              <w:rPr>
                <w:rFonts w:ascii="Times New Roman" w:cs="Times New Roman" w:eastAsia="Times New Roman" w:hAnsi="Times New Roman"/>
                <w:sz w:val="22"/>
                <w:szCs w:val="22"/>
                <w:color w:val="008000"/>
                <w:vertAlign w:val="superscript"/>
              </w:rPr>
              <w:t>(4)</w:t>
            </w:r>
          </w:p>
        </w:tc>
        <w:tc>
          <w:tcPr>
            <w:tcW w:w="1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1,118,756</w:t>
            </w:r>
          </w:p>
        </w:tc>
        <w:tc>
          <w:tcPr>
            <w:tcW w:w="420" w:type="dxa"/>
            <w:vAlign w:val="bottom"/>
          </w:tcPr>
          <w:p>
            <w:pPr>
              <w:spacing w:after="0"/>
              <w:rPr>
                <w:sz w:val="18"/>
                <w:szCs w:val="18"/>
                <w:color w:val="auto"/>
              </w:rPr>
            </w:pPr>
          </w:p>
        </w:tc>
        <w:tc>
          <w:tcPr>
            <w:tcW w:w="480" w:type="dxa"/>
            <w:vAlign w:val="bottom"/>
            <w:vMerge w:val="restart"/>
          </w:tcPr>
          <w:p>
            <w:pPr>
              <w:jc w:val="center"/>
              <w:ind w:right="329"/>
              <w:spacing w:after="0"/>
              <w:rPr>
                <w:sz w:val="20"/>
                <w:szCs w:val="20"/>
                <w:color w:val="auto"/>
              </w:rPr>
            </w:pPr>
            <w:r>
              <w:rPr>
                <w:rFonts w:ascii="Times New Roman" w:cs="Times New Roman" w:eastAsia="Times New Roman" w:hAnsi="Times New Roman"/>
                <w:sz w:val="16"/>
                <w:szCs w:val="16"/>
                <w:color w:val="0000FF"/>
                <w:w w:val="74"/>
              </w:rPr>
              <w:t>I</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Risk</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2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233,900</w:t>
            </w:r>
          </w:p>
        </w:tc>
        <w:tc>
          <w:tcPr>
            <w:tcW w:w="90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1,165,345</w:t>
            </w:r>
          </w:p>
        </w:tc>
        <w:tc>
          <w:tcPr>
            <w:tcW w:w="4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6"/>
                <w:szCs w:val="16"/>
                <w:color w:val="0000FF"/>
                <w:w w:val="74"/>
              </w:rPr>
              <w:t>I</w:t>
            </w:r>
          </w:p>
        </w:tc>
        <w:tc>
          <w:tcPr>
            <w:tcW w:w="11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2"/>
                <w:szCs w:val="22"/>
                <w:color w:val="008000"/>
                <w:vertAlign w:val="superscript"/>
              </w:rPr>
              <w:t>(5)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34,506,199</w:t>
            </w:r>
            <w:r>
              <w:rPr>
                <w:rFonts w:ascii="Times New Roman" w:cs="Times New Roman" w:eastAsia="Times New Roman" w:hAnsi="Times New Roman"/>
                <w:sz w:val="22"/>
                <w:szCs w:val="22"/>
                <w:color w:val="008000"/>
                <w:w w:val="98"/>
                <w:vertAlign w:val="superscript"/>
              </w:rPr>
              <w:t>(6)</w:t>
            </w:r>
          </w:p>
        </w:tc>
        <w:tc>
          <w:tcPr>
            <w:tcW w:w="4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6"/>
                <w:szCs w:val="16"/>
                <w:color w:val="0000FF"/>
                <w:w w:val="74"/>
              </w:rPr>
              <w:t>I</w:t>
            </w:r>
          </w:p>
        </w:tc>
        <w:tc>
          <w:tcPr>
            <w:tcW w:w="11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2"/>
                <w:szCs w:val="22"/>
                <w:color w:val="008000"/>
                <w:vertAlign w:val="superscript"/>
              </w:rPr>
              <w:t>(7)</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1,925,000</w:t>
            </w:r>
          </w:p>
        </w:tc>
        <w:tc>
          <w:tcPr>
            <w:tcW w:w="4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6"/>
                <w:szCs w:val="16"/>
                <w:color w:val="0000FF"/>
                <w:w w:val="74"/>
              </w:rPr>
              <w:t>I</w:t>
            </w:r>
          </w:p>
        </w:tc>
        <w:tc>
          <w:tcPr>
            <w:tcW w:w="11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2"/>
                <w:szCs w:val="22"/>
                <w:color w:val="008000"/>
                <w:vertAlign w:val="superscript"/>
              </w:rPr>
              <w:t>(8)</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1,925,000</w:t>
            </w:r>
          </w:p>
        </w:tc>
        <w:tc>
          <w:tcPr>
            <w:tcW w:w="4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6"/>
                <w:szCs w:val="16"/>
                <w:color w:val="0000FF"/>
                <w:w w:val="74"/>
              </w:rPr>
              <w:t>I</w:t>
            </w:r>
          </w:p>
        </w:tc>
        <w:tc>
          <w:tcPr>
            <w:tcW w:w="122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By Spouse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20" w:type="dxa"/>
            <w:vAlign w:val="bottom"/>
            <w:gridSpan w:val="15"/>
          </w:tcPr>
          <w:p>
            <w:pPr>
              <w:jc w:val="center"/>
              <w:ind w:left="5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3"/>
          </w:tcPr>
          <w:p>
            <w:pPr>
              <w:jc w:val="center"/>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480" w:type="dxa"/>
            <w:vAlign w:val="bottom"/>
          </w:tcPr>
          <w:p>
            <w:pPr>
              <w:ind w:left="240"/>
              <w:spacing w:after="0"/>
              <w:rPr>
                <w:sz w:val="20"/>
                <w:szCs w:val="20"/>
                <w:color w:val="auto"/>
              </w:rPr>
            </w:pPr>
            <w:r>
              <w:rPr>
                <w:rFonts w:ascii="Arial" w:cs="Arial" w:eastAsia="Arial" w:hAnsi="Arial"/>
                <w:sz w:val="12"/>
                <w:szCs w:val="12"/>
                <w:b w:val="1"/>
                <w:bCs w:val="1"/>
                <w:color w:val="auto"/>
              </w:rPr>
              <w:t>10.</w:t>
            </w:r>
          </w:p>
        </w:tc>
        <w:tc>
          <w:tcPr>
            <w:tcW w:w="52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10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10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ind w:left="2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7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10b5-1 trading plan adopted by the Reporting Person on November 21, 2025. The plan was terminated effective as of the close of business on June 12, 2026.</w:t>
      </w:r>
    </w:p>
    <w:p>
      <w:pPr>
        <w:spacing w:after="0" w:line="5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shares sold. The prices of the shares sold pursuant to the transactions ranges from $17.00 to $17.13 per share. The Reporting Person, upon request, will provide the Securities and Exchange Commission staff, the issuer or a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4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Securus Risk Management LLC, which is an entity controlled by the Reporting Person.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shares sold. The prices of the shares sold pursuant to the transactions ranges from $17.10 to $17.23 per share. The Reporting Person, upon request, will provide the Securities and Exchange Commission staff, the issuer or a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jc w:val="both"/>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of common stock beneficially owned by the Reporting Person's spouse.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shown reflects the amount owned by the Reporting Person's spouse after the sale of 237,162 shares of common stock between June 10 - 11, 2026, pursuant to a 10b5-1 trading plan, at prices ranging from $17.00 to $17.23 per share.</w:t>
      </w:r>
    </w:p>
    <w:p>
      <w:pPr>
        <w:spacing w:after="0" w:line="7" w:lineRule="exact"/>
        <w:rPr>
          <w:rFonts w:ascii="Times New Roman" w:cs="Times New Roman" w:eastAsia="Times New Roman" w:hAnsi="Times New Roman"/>
          <w:sz w:val="13"/>
          <w:szCs w:val="13"/>
          <w:color w:val="008000"/>
        </w:rPr>
      </w:pPr>
    </w:p>
    <w:p>
      <w:pPr>
        <w:jc w:val="both"/>
        <w:ind w:left="40" w:right="240" w:firstLine="7"/>
        <w:spacing w:after="0" w:line="24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of common stock beneficially owned by the Reporting Person's spouse through IIM Holdings II, LLC.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w:t>
      </w:r>
    </w:p>
    <w:p>
      <w:pPr>
        <w:ind w:left="220" w:hanging="17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 for any other purpose.</w:t>
      </w:r>
    </w:p>
    <w:p>
      <w:pPr>
        <w:sectPr>
          <w:pgSz w:w="11900" w:h="16921" w:orient="portrait"/>
          <w:cols w:equalWidth="0" w:num="1">
            <w:col w:w="11080"/>
          </w:cols>
          <w:pgMar w:left="460" w:top="219" w:right="359" w:bottom="0" w:gutter="0" w:footer="0" w:header="0"/>
          <w:type w:val="continuous"/>
        </w:sectPr>
      </w:pPr>
    </w:p>
    <w:bookmarkStart w:id="1" w:name="page2"/>
    <w:bookmarkEnd w:id="1"/>
    <w:p>
      <w:pPr>
        <w:ind w:right="4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held through the Emma Cloonen Irrevocable Trust, of which the Reporting Person's spouse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jc w:val="both"/>
        <w:ind w:firstLine="7"/>
        <w:spacing w:after="0" w:line="246"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held through the Ava Cloonen Irrevocable Trust, of which the Reporting Person's spouse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w:t>
      </w:r>
    </w:p>
    <w:p>
      <w:pPr>
        <w:ind w:left="180" w:hanging="173"/>
        <w:spacing w:after="0"/>
        <w:tabs>
          <w:tab w:leader="none" w:pos="18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 for any other purpose.</w:t>
      </w:r>
    </w:p>
    <w:p>
      <w:pPr>
        <w:spacing w:after="0" w:line="5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Andy Omiridis,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8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Shannon Lucas</w:t>
            </w:r>
          </w:p>
        </w:tc>
        <w:tc>
          <w:tcPr>
            <w:tcW w:w="1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60" w:type="dxa"/>
            <w:vAlign w:val="bottom"/>
            <w:tcBorders>
              <w:top w:val="single" w:sz="8" w:color="auto"/>
              <w:bottom w:val="single" w:sz="8" w:color="auto"/>
            </w:tcBorders>
            <w:vMerge w:val="continue"/>
          </w:tcPr>
          <w:p>
            <w:pPr>
              <w:spacing w:after="0"/>
              <w:rPr>
                <w:sz w:val="7"/>
                <w:szCs w:val="7"/>
                <w:color w:val="auto"/>
              </w:rPr>
            </w:pPr>
          </w:p>
        </w:tc>
        <w:tc>
          <w:tcPr>
            <w:tcW w:w="1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8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6"/>
    </w:lvl>
  </w:abstractNum>
  <w:abstractNum w:abstractNumId="2">
    <w:nsid w:val="625558EC"/>
    <w:multiLevelType w:val="hybridMultilevel"/>
    <w:lvl w:ilvl="0">
      <w:lvlJc w:val="left"/>
      <w:lvlText w:val="%1."/>
      <w:numFmt w:val="decimal"/>
      <w:start w:val="8"/>
    </w:lvl>
  </w:abstractNum>
  <w:abstractNum w:abstractNumId="3">
    <w:nsid w:val="238E1F29"/>
    <w:multiLevelType w:val="hybridMultilevel"/>
    <w:lvl w:ilvl="0">
      <w:lvlJc w:val="left"/>
      <w:lvlText w:val="%1"/>
      <w:numFmt w:val="decimal"/>
      <w:start w:val="16"/>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2356" TargetMode="External"/><Relationship Id="rId14" Type="http://schemas.openxmlformats.org/officeDocument/2006/relationships/hyperlink" Target="http://www.sec.gov/cgi-bin/browse-edgar?action=getcompany&amp;CIK=0001886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2026-06-12T17:04:58Z</dcterms:created>
  <dcterms:modified xsi:type="dcterms:W3CDTF">2026-06-12T17:04:58Z</dcterms:modified>
</cp:coreProperties>
</file>