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7550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7550785"/>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Lucas Shannon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500"/>
        <w:spacing w:after="0" w:line="380" w:lineRule="auto"/>
        <w:rPr>
          <w:sz w:val="20"/>
          <w:szCs w:val="20"/>
          <w:color w:val="auto"/>
        </w:rPr>
      </w:pPr>
      <w:r>
        <w:rPr>
          <w:rFonts w:ascii="Times New Roman" w:cs="Times New Roman" w:eastAsia="Times New Roman" w:hAnsi="Times New Roman"/>
          <w:sz w:val="16"/>
          <w:szCs w:val="16"/>
          <w:color w:val="0000FF"/>
        </w:rPr>
        <w:t>C/O SLIDE INSURANCE HOLDINGS, INC. 4221 W. BOY SCOUT BLVD., SUITE 200</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TAMPA</w:t>
            </w:r>
          </w:p>
        </w:tc>
        <w:tc>
          <w:tcPr>
            <w:tcW w:w="11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33607</w:t>
            </w:r>
          </w:p>
        </w:tc>
      </w:tr>
      <w:tr>
        <w:trPr>
          <w:trHeight w:val="149"/>
        </w:trPr>
        <w:tc>
          <w:tcPr>
            <w:tcW w:w="20" w:type="dxa"/>
            <w:vAlign w:val="bottom"/>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3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Slide Insurance Holdings,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SLDE</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80" w:type="dxa"/>
            <w:vAlign w:val="bottom"/>
            <w:tcBorders>
              <w:bottom w:val="single" w:sz="8" w:color="0000EE"/>
            </w:tcBorders>
          </w:tcPr>
          <w:p>
            <w:pPr>
              <w:spacing w:after="0"/>
              <w:rPr>
                <w:sz w:val="3"/>
                <w:szCs w:val="3"/>
                <w:color w:val="auto"/>
              </w:rPr>
            </w:pPr>
          </w:p>
        </w:tc>
        <w:tc>
          <w:tcPr>
            <w:tcW w:w="1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380" w:type="dxa"/>
            <w:vAlign w:val="bottom"/>
            <w:tcBorders>
              <w:bottom w:val="single" w:sz="8" w:color="2C2C2C"/>
            </w:tcBorders>
          </w:tcPr>
          <w:p>
            <w:pPr>
              <w:spacing w:after="0"/>
              <w:rPr>
                <w:sz w:val="16"/>
                <w:szCs w:val="16"/>
                <w:color w:val="auto"/>
              </w:rPr>
            </w:pPr>
          </w:p>
        </w:tc>
        <w:tc>
          <w:tcPr>
            <w:tcW w:w="1260" w:type="dxa"/>
            <w:vAlign w:val="bottom"/>
            <w:tcBorders>
              <w:bottom w:val="single" w:sz="8" w:color="2C2C2C"/>
            </w:tcBorders>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04/30/2026</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0000FF"/>
              </w:rPr>
              <w:t>President &amp; COO</w:t>
            </w:r>
          </w:p>
        </w:tc>
        <w:tc>
          <w:tcPr>
            <w:tcW w:w="0" w:type="dxa"/>
            <w:vAlign w:val="bottom"/>
          </w:tcPr>
          <w:p>
            <w:pPr>
              <w:spacing w:after="0"/>
              <w:rPr>
                <w:sz w:val="1"/>
                <w:szCs w:val="1"/>
                <w:color w:val="auto"/>
              </w:rPr>
            </w:pPr>
          </w:p>
        </w:tc>
      </w:tr>
      <w:tr>
        <w:trPr>
          <w:trHeight w:val="330"/>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67" w:lineRule="exact"/>
        <w:rPr>
          <w:sz w:val="24"/>
          <w:szCs w:val="24"/>
          <w:color w:val="auto"/>
        </w:rPr>
      </w:pPr>
    </w:p>
    <w:p>
      <w:pPr>
        <w:sectPr>
          <w:pgSz w:w="11900" w:h="16838" w:orient="portrait"/>
          <w:cols w:equalWidth="0" w:num="2">
            <w:col w:w="3740" w:space="10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20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rPr>
              <w:t>6. Ownership</w:t>
            </w:r>
          </w:p>
        </w:tc>
        <w:tc>
          <w:tcPr>
            <w:tcW w:w="120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460"/>
              <w:spacing w:after="0" w:line="128"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0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8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2"/>
          </w:tcPr>
          <w:p>
            <w:pPr>
              <w:ind w:left="340"/>
              <w:spacing w:after="0" w:line="128" w:lineRule="exact"/>
              <w:rPr>
                <w:sz w:val="20"/>
                <w:szCs w:val="20"/>
                <w:color w:val="auto"/>
              </w:rPr>
            </w:pPr>
            <w:r>
              <w:rPr>
                <w:rFonts w:ascii="Arial" w:cs="Arial" w:eastAsia="Arial" w:hAnsi="Arial"/>
                <w:sz w:val="12"/>
                <w:szCs w:val="12"/>
                <w:b w:val="1"/>
                <w:bCs w:val="1"/>
                <w:color w:val="auto"/>
              </w:rPr>
              <w:t>Form: Direct</w:t>
            </w:r>
          </w:p>
        </w:tc>
        <w:tc>
          <w:tcPr>
            <w:tcW w:w="5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6"/>
              </w:rPr>
              <w:t>Indirect</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20" w:type="dxa"/>
            <w:vAlign w:val="bottom"/>
            <w:gridSpan w:val="2"/>
          </w:tcPr>
          <w:p>
            <w:pPr>
              <w:jc w:val="right"/>
              <w:ind w:right="6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1160" w:type="dxa"/>
            <w:vAlign w:val="bottom"/>
            <w:gridSpan w:val="2"/>
          </w:tcPr>
          <w:p>
            <w:pPr>
              <w:jc w:val="center"/>
              <w:ind w:left="221"/>
              <w:spacing w:after="0" w:line="129" w:lineRule="exact"/>
              <w:rPr>
                <w:sz w:val="20"/>
                <w:szCs w:val="20"/>
                <w:color w:val="auto"/>
              </w:rPr>
            </w:pPr>
            <w:r>
              <w:rPr>
                <w:rFonts w:ascii="Arial" w:cs="Arial" w:eastAsia="Arial" w:hAnsi="Arial"/>
                <w:sz w:val="12"/>
                <w:szCs w:val="12"/>
                <w:b w:val="1"/>
                <w:bCs w:val="1"/>
                <w:color w:val="auto"/>
                <w:w w:val="96"/>
              </w:rPr>
              <w:t>(D) or Indirect</w:t>
            </w:r>
          </w:p>
        </w:tc>
        <w:tc>
          <w:tcPr>
            <w:tcW w:w="12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9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Owned Following   (I) (Instr. 4)</w:t>
            </w:r>
          </w:p>
        </w:tc>
        <w:tc>
          <w:tcPr>
            <w:tcW w:w="12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2"/>
            <w:vMerge w:val="restart"/>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gridSpan w:val="4"/>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4"/>
              </w:rPr>
              <w:t>Transaction(s)</w:t>
            </w: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vMerge w:val="continue"/>
          </w:tcPr>
          <w:p>
            <w:pPr>
              <w:spacing w:after="0"/>
              <w:rPr>
                <w:sz w:val="8"/>
                <w:szCs w:val="8"/>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5"/>
              </w:rPr>
              <w:t>(Instr. 3 and 4)</w:t>
            </w: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000FF"/>
              </w:rPr>
              <w:t>04/30/2026</w:t>
            </w:r>
          </w:p>
        </w:tc>
        <w:tc>
          <w:tcPr>
            <w:tcW w:w="4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M</w:t>
            </w:r>
          </w:p>
        </w:tc>
        <w:tc>
          <w:tcPr>
            <w:tcW w:w="36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22,918</w:t>
            </w:r>
          </w:p>
        </w:tc>
        <w:tc>
          <w:tcPr>
            <w:tcW w:w="4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40" w:type="dxa"/>
            <w:vAlign w:val="bottom"/>
          </w:tcPr>
          <w:p>
            <w:pPr>
              <w:spacing w:after="0"/>
              <w:rPr>
                <w:sz w:val="22"/>
                <w:szCs w:val="22"/>
                <w:color w:val="auto"/>
              </w:rPr>
            </w:pPr>
          </w:p>
        </w:tc>
        <w:tc>
          <w:tcPr>
            <w:tcW w:w="820" w:type="dxa"/>
            <w:vAlign w:val="bottom"/>
            <w:gridSpan w:val="2"/>
          </w:tcPr>
          <w:p>
            <w:pPr>
              <w:jc w:val="center"/>
              <w:ind w:left="169"/>
              <w:spacing w:after="0"/>
              <w:rPr>
                <w:sz w:val="20"/>
                <w:szCs w:val="20"/>
                <w:color w:val="auto"/>
              </w:rPr>
            </w:pPr>
            <w:r>
              <w:rPr>
                <w:rFonts w:ascii="Times New Roman" w:cs="Times New Roman" w:eastAsia="Times New Roman" w:hAnsi="Times New Roman"/>
                <w:sz w:val="17"/>
                <w:szCs w:val="17"/>
                <w:color w:val="0000FF"/>
                <w:w w:val="97"/>
              </w:rPr>
              <w:t>231,019</w:t>
            </w:r>
          </w:p>
        </w:tc>
        <w:tc>
          <w:tcPr>
            <w:tcW w:w="660" w:type="dxa"/>
            <w:vAlign w:val="bottom"/>
          </w:tcPr>
          <w:p>
            <w:pPr>
              <w:spacing w:after="0"/>
              <w:rPr>
                <w:sz w:val="22"/>
                <w:szCs w:val="22"/>
                <w:color w:val="auto"/>
              </w:rPr>
            </w:pPr>
          </w:p>
        </w:tc>
        <w:tc>
          <w:tcPr>
            <w:tcW w:w="500" w:type="dxa"/>
            <w:vAlign w:val="bottom"/>
          </w:tcPr>
          <w:p>
            <w:pPr>
              <w:jc w:val="center"/>
              <w:ind w:right="265"/>
              <w:spacing w:after="0"/>
              <w:rPr>
                <w:sz w:val="20"/>
                <w:szCs w:val="20"/>
                <w:color w:val="auto"/>
              </w:rPr>
            </w:pPr>
            <w:r>
              <w:rPr>
                <w:rFonts w:ascii="Times New Roman" w:cs="Times New Roman" w:eastAsia="Times New Roman" w:hAnsi="Times New Roman"/>
                <w:sz w:val="17"/>
                <w:szCs w:val="17"/>
                <w:color w:val="0000FF"/>
                <w:w w:val="97"/>
              </w:rPr>
              <w:t>D</w:t>
            </w:r>
          </w:p>
        </w:tc>
        <w:tc>
          <w:tcPr>
            <w:tcW w:w="5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000FF"/>
              </w:rPr>
              <w:t>04/30/2026</w:t>
            </w:r>
          </w:p>
        </w:tc>
        <w:tc>
          <w:tcPr>
            <w:tcW w:w="4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F</w:t>
            </w:r>
          </w:p>
        </w:tc>
        <w:tc>
          <w:tcPr>
            <w:tcW w:w="36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9,019</w:t>
            </w:r>
          </w:p>
        </w:tc>
        <w:tc>
          <w:tcPr>
            <w:tcW w:w="4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18.65</w:t>
            </w:r>
          </w:p>
        </w:tc>
        <w:tc>
          <w:tcPr>
            <w:tcW w:w="40" w:type="dxa"/>
            <w:vAlign w:val="bottom"/>
          </w:tcPr>
          <w:p>
            <w:pPr>
              <w:spacing w:after="0"/>
              <w:rPr>
                <w:sz w:val="22"/>
                <w:szCs w:val="22"/>
                <w:color w:val="auto"/>
              </w:rPr>
            </w:pPr>
          </w:p>
        </w:tc>
        <w:tc>
          <w:tcPr>
            <w:tcW w:w="820" w:type="dxa"/>
            <w:vAlign w:val="bottom"/>
            <w:gridSpan w:val="2"/>
          </w:tcPr>
          <w:p>
            <w:pPr>
              <w:jc w:val="center"/>
              <w:ind w:left="169"/>
              <w:spacing w:after="0"/>
              <w:rPr>
                <w:sz w:val="20"/>
                <w:szCs w:val="20"/>
                <w:color w:val="auto"/>
              </w:rPr>
            </w:pPr>
            <w:r>
              <w:rPr>
                <w:rFonts w:ascii="Times New Roman" w:cs="Times New Roman" w:eastAsia="Times New Roman" w:hAnsi="Times New Roman"/>
                <w:sz w:val="17"/>
                <w:szCs w:val="17"/>
                <w:color w:val="0000FF"/>
                <w:w w:val="97"/>
              </w:rPr>
              <w:t>222,000</w:t>
            </w:r>
          </w:p>
        </w:tc>
        <w:tc>
          <w:tcPr>
            <w:tcW w:w="660" w:type="dxa"/>
            <w:vAlign w:val="bottom"/>
          </w:tcPr>
          <w:p>
            <w:pPr>
              <w:spacing w:after="0"/>
              <w:rPr>
                <w:sz w:val="22"/>
                <w:szCs w:val="22"/>
                <w:color w:val="auto"/>
              </w:rPr>
            </w:pPr>
          </w:p>
        </w:tc>
        <w:tc>
          <w:tcPr>
            <w:tcW w:w="500" w:type="dxa"/>
            <w:vAlign w:val="bottom"/>
          </w:tcPr>
          <w:p>
            <w:pPr>
              <w:jc w:val="center"/>
              <w:ind w:right="265"/>
              <w:spacing w:after="0"/>
              <w:rPr>
                <w:sz w:val="20"/>
                <w:szCs w:val="20"/>
                <w:color w:val="auto"/>
              </w:rPr>
            </w:pPr>
            <w:r>
              <w:rPr>
                <w:rFonts w:ascii="Times New Roman" w:cs="Times New Roman" w:eastAsia="Times New Roman" w:hAnsi="Times New Roman"/>
                <w:sz w:val="17"/>
                <w:szCs w:val="17"/>
                <w:color w:val="0000FF"/>
                <w:w w:val="97"/>
              </w:rPr>
              <w:t>D</w:t>
            </w:r>
          </w:p>
        </w:tc>
        <w:tc>
          <w:tcPr>
            <w:tcW w:w="5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Securus</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0000FF"/>
              </w:rPr>
              <w:t>05/01/2026</w:t>
            </w: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w:t>
            </w:r>
          </w:p>
        </w:tc>
        <w:tc>
          <w:tcPr>
            <w:tcW w:w="360" w:type="dxa"/>
            <w:vAlign w:val="bottom"/>
          </w:tcPr>
          <w:p>
            <w:pPr>
              <w:spacing w:after="0"/>
              <w:rPr>
                <w:sz w:val="17"/>
                <w:szCs w:val="17"/>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1"/>
              </w:rPr>
              <w:t>8,450</w:t>
            </w:r>
            <w:r>
              <w:rPr>
                <w:rFonts w:ascii="Times New Roman" w:cs="Times New Roman" w:eastAsia="Times New Roman" w:hAnsi="Times New Roman"/>
                <w:sz w:val="21"/>
                <w:szCs w:val="21"/>
                <w:color w:val="008000"/>
                <w:w w:val="91"/>
                <w:vertAlign w:val="superscript"/>
              </w:rPr>
              <w:t>(1)</w:t>
            </w:r>
          </w:p>
        </w:tc>
        <w:tc>
          <w:tcPr>
            <w:tcW w:w="42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gridSpan w:val="2"/>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18.77</w:t>
            </w:r>
            <w:r>
              <w:rPr>
                <w:rFonts w:ascii="Times New Roman" w:cs="Times New Roman" w:eastAsia="Times New Roman" w:hAnsi="Times New Roman"/>
                <w:sz w:val="21"/>
                <w:szCs w:val="21"/>
                <w:color w:val="008000"/>
                <w:w w:val="93"/>
                <w:vertAlign w:val="superscript"/>
              </w:rPr>
              <w:t>(2)</w:t>
            </w:r>
          </w:p>
        </w:tc>
        <w:tc>
          <w:tcPr>
            <w:tcW w:w="40" w:type="dxa"/>
            <w:vAlign w:val="bottom"/>
          </w:tcPr>
          <w:p>
            <w:pPr>
              <w:spacing w:after="0"/>
              <w:rPr>
                <w:sz w:val="17"/>
                <w:szCs w:val="17"/>
                <w:color w:val="auto"/>
              </w:rPr>
            </w:pPr>
          </w:p>
        </w:tc>
        <w:tc>
          <w:tcPr>
            <w:tcW w:w="1480" w:type="dxa"/>
            <w:vAlign w:val="bottom"/>
            <w:gridSpan w:val="3"/>
            <w:vMerge w:val="restart"/>
          </w:tcPr>
          <w:p>
            <w:pPr>
              <w:jc w:val="center"/>
              <w:ind w:right="361"/>
              <w:spacing w:after="0"/>
              <w:rPr>
                <w:sz w:val="20"/>
                <w:szCs w:val="20"/>
                <w:color w:val="auto"/>
              </w:rPr>
            </w:pPr>
            <w:r>
              <w:rPr>
                <w:rFonts w:ascii="Times New Roman" w:cs="Times New Roman" w:eastAsia="Times New Roman" w:hAnsi="Times New Roman"/>
                <w:sz w:val="17"/>
                <w:szCs w:val="17"/>
                <w:color w:val="0000FF"/>
                <w:w w:val="96"/>
              </w:rPr>
              <w:t>1,314,780</w:t>
            </w:r>
          </w:p>
        </w:tc>
        <w:tc>
          <w:tcPr>
            <w:tcW w:w="500" w:type="dxa"/>
            <w:vAlign w:val="bottom"/>
            <w:vMerge w:val="restart"/>
          </w:tcPr>
          <w:p>
            <w:pPr>
              <w:jc w:val="center"/>
              <w:ind w:right="285"/>
              <w:spacing w:after="0"/>
              <w:rPr>
                <w:sz w:val="20"/>
                <w:szCs w:val="20"/>
                <w:color w:val="auto"/>
              </w:rPr>
            </w:pPr>
            <w:r>
              <w:rPr>
                <w:rFonts w:ascii="Times New Roman" w:cs="Times New Roman" w:eastAsia="Times New Roman" w:hAnsi="Times New Roman"/>
                <w:sz w:val="17"/>
                <w:szCs w:val="17"/>
                <w:color w:val="0000FF"/>
              </w:rPr>
              <w:t>I</w:t>
            </w:r>
          </w:p>
        </w:tc>
        <w:tc>
          <w:tcPr>
            <w:tcW w:w="5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Risk</w:t>
            </w: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04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20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Management,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ind w:left="80"/>
              <w:spacing w:after="0" w:line="271" w:lineRule="exact"/>
              <w:rPr>
                <w:sz w:val="20"/>
                <w:szCs w:val="20"/>
                <w:color w:val="auto"/>
              </w:rPr>
            </w:pPr>
            <w:r>
              <w:rPr>
                <w:rFonts w:ascii="Times New Roman" w:cs="Times New Roman" w:eastAsia="Times New Roman" w:hAnsi="Times New Roman"/>
                <w:sz w:val="31"/>
                <w:szCs w:val="31"/>
                <w:color w:val="0000FF"/>
                <w:vertAlign w:val="subscript"/>
              </w:rPr>
              <w:t>LLC</w:t>
            </w:r>
            <w:r>
              <w:rPr>
                <w:rFonts w:ascii="Times New Roman" w:cs="Times New Roman" w:eastAsia="Times New Roman" w:hAnsi="Times New Roman"/>
                <w:sz w:val="10"/>
                <w:szCs w:val="10"/>
                <w:color w:val="008000"/>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Securus</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0000FF"/>
              </w:rPr>
              <w:t>05/04/2026</w:t>
            </w: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w:t>
            </w:r>
          </w:p>
        </w:tc>
        <w:tc>
          <w:tcPr>
            <w:tcW w:w="360" w:type="dxa"/>
            <w:vAlign w:val="bottom"/>
          </w:tcPr>
          <w:p>
            <w:pPr>
              <w:spacing w:after="0"/>
              <w:rPr>
                <w:sz w:val="17"/>
                <w:szCs w:val="17"/>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1"/>
              </w:rPr>
              <w:t>6,647</w:t>
            </w:r>
            <w:r>
              <w:rPr>
                <w:rFonts w:ascii="Times New Roman" w:cs="Times New Roman" w:eastAsia="Times New Roman" w:hAnsi="Times New Roman"/>
                <w:sz w:val="21"/>
                <w:szCs w:val="21"/>
                <w:color w:val="008000"/>
                <w:w w:val="91"/>
                <w:vertAlign w:val="superscript"/>
              </w:rPr>
              <w:t>(1)</w:t>
            </w:r>
          </w:p>
        </w:tc>
        <w:tc>
          <w:tcPr>
            <w:tcW w:w="42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gridSpan w:val="2"/>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18.88</w:t>
            </w:r>
            <w:r>
              <w:rPr>
                <w:rFonts w:ascii="Times New Roman" w:cs="Times New Roman" w:eastAsia="Times New Roman" w:hAnsi="Times New Roman"/>
                <w:sz w:val="21"/>
                <w:szCs w:val="21"/>
                <w:color w:val="008000"/>
                <w:w w:val="93"/>
                <w:vertAlign w:val="superscript"/>
              </w:rPr>
              <w:t>(4)</w:t>
            </w:r>
          </w:p>
        </w:tc>
        <w:tc>
          <w:tcPr>
            <w:tcW w:w="40" w:type="dxa"/>
            <w:vAlign w:val="bottom"/>
          </w:tcPr>
          <w:p>
            <w:pPr>
              <w:spacing w:after="0"/>
              <w:rPr>
                <w:sz w:val="17"/>
                <w:szCs w:val="17"/>
                <w:color w:val="auto"/>
              </w:rPr>
            </w:pPr>
          </w:p>
        </w:tc>
        <w:tc>
          <w:tcPr>
            <w:tcW w:w="1480" w:type="dxa"/>
            <w:vAlign w:val="bottom"/>
            <w:gridSpan w:val="3"/>
            <w:vMerge w:val="restart"/>
          </w:tcPr>
          <w:p>
            <w:pPr>
              <w:jc w:val="center"/>
              <w:ind w:right="361"/>
              <w:spacing w:after="0"/>
              <w:rPr>
                <w:sz w:val="20"/>
                <w:szCs w:val="20"/>
                <w:color w:val="auto"/>
              </w:rPr>
            </w:pPr>
            <w:r>
              <w:rPr>
                <w:rFonts w:ascii="Times New Roman" w:cs="Times New Roman" w:eastAsia="Times New Roman" w:hAnsi="Times New Roman"/>
                <w:sz w:val="17"/>
                <w:szCs w:val="17"/>
                <w:color w:val="0000FF"/>
                <w:w w:val="96"/>
              </w:rPr>
              <w:t>1,308,133</w:t>
            </w:r>
          </w:p>
        </w:tc>
        <w:tc>
          <w:tcPr>
            <w:tcW w:w="500" w:type="dxa"/>
            <w:vAlign w:val="bottom"/>
            <w:vMerge w:val="restart"/>
          </w:tcPr>
          <w:p>
            <w:pPr>
              <w:jc w:val="center"/>
              <w:ind w:right="285"/>
              <w:spacing w:after="0"/>
              <w:rPr>
                <w:sz w:val="20"/>
                <w:szCs w:val="20"/>
                <w:color w:val="auto"/>
              </w:rPr>
            </w:pPr>
            <w:r>
              <w:rPr>
                <w:rFonts w:ascii="Times New Roman" w:cs="Times New Roman" w:eastAsia="Times New Roman" w:hAnsi="Times New Roman"/>
                <w:sz w:val="17"/>
                <w:szCs w:val="17"/>
                <w:color w:val="0000FF"/>
              </w:rPr>
              <w:t>I</w:t>
            </w:r>
          </w:p>
        </w:tc>
        <w:tc>
          <w:tcPr>
            <w:tcW w:w="5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Risk</w:t>
            </w: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04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20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Management,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ind w:left="80"/>
              <w:spacing w:after="0" w:line="271" w:lineRule="exact"/>
              <w:rPr>
                <w:sz w:val="20"/>
                <w:szCs w:val="20"/>
                <w:color w:val="auto"/>
              </w:rPr>
            </w:pPr>
            <w:r>
              <w:rPr>
                <w:rFonts w:ascii="Times New Roman" w:cs="Times New Roman" w:eastAsia="Times New Roman" w:hAnsi="Times New Roman"/>
                <w:sz w:val="31"/>
                <w:szCs w:val="31"/>
                <w:color w:val="0000FF"/>
                <w:vertAlign w:val="subscript"/>
              </w:rPr>
              <w:t>LLC</w:t>
            </w:r>
            <w:r>
              <w:rPr>
                <w:rFonts w:ascii="Times New Roman" w:cs="Times New Roman" w:eastAsia="Times New Roman" w:hAnsi="Times New Roman"/>
                <w:sz w:val="10"/>
                <w:szCs w:val="10"/>
                <w:color w:val="008000"/>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0000FF"/>
              </w:rPr>
              <w:t>04/30/2026</w:t>
            </w:r>
          </w:p>
        </w:tc>
        <w:tc>
          <w:tcPr>
            <w:tcW w:w="4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M</w:t>
            </w:r>
          </w:p>
        </w:tc>
        <w:tc>
          <w:tcPr>
            <w:tcW w:w="3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22,918</w:t>
            </w:r>
          </w:p>
        </w:tc>
        <w:tc>
          <w:tcPr>
            <w:tcW w:w="4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jc w:val="center"/>
              <w:ind w:right="381"/>
              <w:spacing w:after="0"/>
              <w:rPr>
                <w:sz w:val="20"/>
                <w:szCs w:val="20"/>
                <w:color w:val="auto"/>
              </w:rPr>
            </w:pPr>
            <w:r>
              <w:rPr>
                <w:rFonts w:ascii="Times New Roman" w:cs="Times New Roman" w:eastAsia="Times New Roman" w:hAnsi="Times New Roman"/>
                <w:sz w:val="17"/>
                <w:szCs w:val="17"/>
                <w:color w:val="0000FF"/>
                <w:w w:val="94"/>
              </w:rPr>
              <w:t>1,151,445</w:t>
            </w:r>
            <w:r>
              <w:rPr>
                <w:rFonts w:ascii="Times New Roman" w:cs="Times New Roman" w:eastAsia="Times New Roman" w:hAnsi="Times New Roman"/>
                <w:sz w:val="21"/>
                <w:szCs w:val="21"/>
                <w:color w:val="008000"/>
                <w:w w:val="94"/>
                <w:vertAlign w:val="superscript"/>
              </w:rPr>
              <w:t>(5)</w:t>
            </w:r>
          </w:p>
        </w:tc>
        <w:tc>
          <w:tcPr>
            <w:tcW w:w="50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rPr>
              <w:t>By Spouse</w:t>
            </w:r>
            <w:r>
              <w:rPr>
                <w:rFonts w:ascii="Times New Roman" w:cs="Times New Roman" w:eastAsia="Times New Roman" w:hAnsi="Times New Roman"/>
                <w:sz w:val="21"/>
                <w:szCs w:val="21"/>
                <w:color w:val="008000"/>
                <w:vertAlign w:val="superscript"/>
              </w:rPr>
              <w:t>(6)</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jc w:val="center"/>
              <w:ind w:right="381"/>
              <w:spacing w:after="0"/>
              <w:rPr>
                <w:sz w:val="20"/>
                <w:szCs w:val="20"/>
                <w:color w:val="auto"/>
              </w:rPr>
            </w:pPr>
            <w:r>
              <w:rPr>
                <w:rFonts w:ascii="Times New Roman" w:cs="Times New Roman" w:eastAsia="Times New Roman" w:hAnsi="Times New Roman"/>
                <w:sz w:val="17"/>
                <w:szCs w:val="17"/>
                <w:color w:val="0000FF"/>
                <w:w w:val="94"/>
              </w:rPr>
              <w:t>36,418,363</w:t>
            </w:r>
            <w:r>
              <w:rPr>
                <w:rFonts w:ascii="Times New Roman" w:cs="Times New Roman" w:eastAsia="Times New Roman" w:hAnsi="Times New Roman"/>
                <w:sz w:val="21"/>
                <w:szCs w:val="21"/>
                <w:color w:val="008000"/>
                <w:w w:val="94"/>
                <w:vertAlign w:val="superscript"/>
              </w:rPr>
              <w:t>(7)</w:t>
            </w:r>
          </w:p>
        </w:tc>
        <w:tc>
          <w:tcPr>
            <w:tcW w:w="50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rPr>
              <w:t>By Spouse</w:t>
            </w:r>
            <w:r>
              <w:rPr>
                <w:rFonts w:ascii="Times New Roman" w:cs="Times New Roman" w:eastAsia="Times New Roman" w:hAnsi="Times New Roman"/>
                <w:sz w:val="21"/>
                <w:szCs w:val="21"/>
                <w:color w:val="008000"/>
                <w:vertAlign w:val="superscript"/>
              </w:rPr>
              <w:t>(8)</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jc w:val="center"/>
              <w:ind w:right="361"/>
              <w:spacing w:after="0"/>
              <w:rPr>
                <w:sz w:val="20"/>
                <w:szCs w:val="20"/>
                <w:color w:val="auto"/>
              </w:rPr>
            </w:pPr>
            <w:r>
              <w:rPr>
                <w:rFonts w:ascii="Times New Roman" w:cs="Times New Roman" w:eastAsia="Times New Roman" w:hAnsi="Times New Roman"/>
                <w:sz w:val="17"/>
                <w:szCs w:val="17"/>
                <w:color w:val="0000FF"/>
                <w:w w:val="96"/>
              </w:rPr>
              <w:t>1,925,000</w:t>
            </w:r>
          </w:p>
        </w:tc>
        <w:tc>
          <w:tcPr>
            <w:tcW w:w="50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rPr>
              <w:t>By Spouse</w:t>
            </w:r>
            <w:r>
              <w:rPr>
                <w:rFonts w:ascii="Times New Roman" w:cs="Times New Roman" w:eastAsia="Times New Roman" w:hAnsi="Times New Roman"/>
                <w:sz w:val="21"/>
                <w:szCs w:val="21"/>
                <w:color w:val="008000"/>
                <w:vertAlign w:val="superscript"/>
              </w:rPr>
              <w:t>(9)</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jc w:val="center"/>
              <w:ind w:right="361"/>
              <w:spacing w:after="0"/>
              <w:rPr>
                <w:sz w:val="20"/>
                <w:szCs w:val="20"/>
                <w:color w:val="auto"/>
              </w:rPr>
            </w:pPr>
            <w:r>
              <w:rPr>
                <w:rFonts w:ascii="Times New Roman" w:cs="Times New Roman" w:eastAsia="Times New Roman" w:hAnsi="Times New Roman"/>
                <w:sz w:val="17"/>
                <w:szCs w:val="17"/>
                <w:color w:val="0000FF"/>
                <w:w w:val="96"/>
              </w:rPr>
              <w:t>1,925,000</w:t>
            </w:r>
          </w:p>
        </w:tc>
        <w:tc>
          <w:tcPr>
            <w:tcW w:w="50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rPr>
              <w:t>By Spouse</w:t>
            </w:r>
            <w:r>
              <w:rPr>
                <w:rFonts w:ascii="Times New Roman" w:cs="Times New Roman" w:eastAsia="Times New Roman" w:hAnsi="Times New Roman"/>
                <w:sz w:val="21"/>
                <w:szCs w:val="21"/>
                <w:color w:val="008000"/>
                <w:vertAlign w:val="superscript"/>
              </w:rPr>
              <w:t>(10)</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jc w:val="center"/>
              <w:ind w:right="361"/>
              <w:spacing w:after="0"/>
              <w:rPr>
                <w:sz w:val="20"/>
                <w:szCs w:val="20"/>
                <w:color w:val="auto"/>
              </w:rPr>
            </w:pPr>
            <w:r>
              <w:rPr>
                <w:rFonts w:ascii="Times New Roman" w:cs="Times New Roman" w:eastAsia="Times New Roman" w:hAnsi="Times New Roman"/>
                <w:sz w:val="17"/>
                <w:szCs w:val="17"/>
                <w:color w:val="0000FF"/>
                <w:w w:val="96"/>
              </w:rPr>
              <w:t>2,575,837</w:t>
            </w:r>
          </w:p>
        </w:tc>
        <w:tc>
          <w:tcPr>
            <w:tcW w:w="50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7"/>
                <w:szCs w:val="17"/>
                <w:color w:val="0000FF"/>
              </w:rPr>
              <w:t>I</w:t>
            </w:r>
          </w:p>
        </w:tc>
        <w:tc>
          <w:tcPr>
            <w:tcW w:w="1200" w:type="dxa"/>
            <w:vAlign w:val="bottom"/>
            <w:tcBorders>
              <w:bottom w:val="single" w:sz="8" w:color="2C2C2C"/>
            </w:tcBorders>
            <w:gridSpan w:val="4"/>
          </w:tcPr>
          <w:p>
            <w:pPr>
              <w:ind w:left="80"/>
              <w:spacing w:after="0"/>
              <w:rPr>
                <w:sz w:val="20"/>
                <w:szCs w:val="20"/>
                <w:color w:val="auto"/>
              </w:rPr>
            </w:pPr>
            <w:r>
              <w:rPr>
                <w:rFonts w:ascii="Times New Roman" w:cs="Times New Roman" w:eastAsia="Times New Roman" w:hAnsi="Times New Roman"/>
                <w:sz w:val="17"/>
                <w:szCs w:val="17"/>
                <w:color w:val="0000FF"/>
              </w:rPr>
              <w:t>By Spouse</w:t>
            </w:r>
            <w:r>
              <w:rPr>
                <w:rFonts w:ascii="Times New Roman" w:cs="Times New Roman" w:eastAsia="Times New Roman" w:hAnsi="Times New Roman"/>
                <w:sz w:val="21"/>
                <w:szCs w:val="21"/>
                <w:color w:val="008000"/>
                <w:vertAlign w:val="superscript"/>
              </w:rPr>
              <w:t>(11)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380" w:type="dxa"/>
            <w:vAlign w:val="bottom"/>
            <w:gridSpan w:val="12"/>
          </w:tcPr>
          <w:p>
            <w:pPr>
              <w:ind w:left="70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8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w w:val="95"/>
              </w:rPr>
              <w:t>5. Number</w:t>
            </w:r>
          </w:p>
        </w:tc>
        <w:tc>
          <w:tcPr>
            <w:tcW w:w="1580" w:type="dxa"/>
            <w:vAlign w:val="bottom"/>
            <w:gridSpan w:val="3"/>
          </w:tcPr>
          <w:p>
            <w:pPr>
              <w:ind w:left="20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4"/>
          </w:tcPr>
          <w:p>
            <w:pPr>
              <w:ind w:left="120"/>
              <w:spacing w:after="0"/>
              <w:rPr>
                <w:sz w:val="20"/>
                <w:szCs w:val="20"/>
                <w:color w:val="auto"/>
              </w:rPr>
            </w:pPr>
            <w:r>
              <w:rPr>
                <w:rFonts w:ascii="Arial" w:cs="Arial" w:eastAsia="Arial" w:hAnsi="Arial"/>
                <w:sz w:val="12"/>
                <w:szCs w:val="12"/>
                <w:b w:val="1"/>
                <w:bCs w:val="1"/>
                <w:color w:val="auto"/>
                <w:w w:val="95"/>
              </w:rPr>
              <w:t>7. Title and Amount</w:t>
            </w:r>
          </w:p>
        </w:tc>
        <w:tc>
          <w:tcPr>
            <w:tcW w:w="6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520" w:type="dxa"/>
            <w:vAlign w:val="bottom"/>
          </w:tcPr>
          <w:p>
            <w:pPr>
              <w:spacing w:after="0"/>
              <w:rPr>
                <w:sz w:val="14"/>
                <w:szCs w:val="14"/>
                <w:color w:val="auto"/>
              </w:rPr>
            </w:pPr>
          </w:p>
        </w:tc>
        <w:tc>
          <w:tcPr>
            <w:tcW w:w="680" w:type="dxa"/>
            <w:vAlign w:val="bottom"/>
            <w:tcBorders>
              <w:right w:val="single" w:sz="8" w:color="2C2C2C"/>
            </w:tcBorders>
            <w:gridSpan w:val="3"/>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0"/>
              <w:spacing w:after="0" w:line="129"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rPr>
              <w:t>of Securities</w:t>
            </w:r>
          </w:p>
        </w:tc>
        <w:tc>
          <w:tcPr>
            <w:tcW w:w="6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2"/>
          </w:tcPr>
          <w:p>
            <w:pPr>
              <w:ind w:left="280"/>
              <w:spacing w:after="0" w:line="129" w:lineRule="exact"/>
              <w:rPr>
                <w:sz w:val="20"/>
                <w:szCs w:val="20"/>
                <w:color w:val="auto"/>
              </w:rPr>
            </w:pPr>
            <w:r>
              <w:rPr>
                <w:rFonts w:ascii="Arial" w:cs="Arial" w:eastAsia="Arial" w:hAnsi="Arial"/>
                <w:sz w:val="12"/>
                <w:szCs w:val="12"/>
                <w:b w:val="1"/>
                <w:bCs w:val="1"/>
                <w:color w:val="auto"/>
              </w:rPr>
              <w:t>Ownership</w:t>
            </w:r>
          </w:p>
        </w:tc>
        <w:tc>
          <w:tcPr>
            <w:tcW w:w="680" w:type="dxa"/>
            <w:vAlign w:val="bottom"/>
            <w:tcBorders>
              <w:right w:val="single" w:sz="8" w:color="2C2C2C"/>
            </w:tcBorders>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7"/>
              </w:rPr>
              <w:t>Derivative</w:t>
            </w:r>
          </w:p>
        </w:tc>
        <w:tc>
          <w:tcPr>
            <w:tcW w:w="1580" w:type="dxa"/>
            <w:vAlign w:val="bottom"/>
            <w:gridSpan w:val="3"/>
          </w:tcPr>
          <w:p>
            <w:pPr>
              <w:ind w:left="2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1020" w:type="dxa"/>
            <w:vAlign w:val="bottom"/>
            <w:gridSpan w:val="2"/>
          </w:tcPr>
          <w:p>
            <w:pPr>
              <w:ind w:left="280"/>
              <w:spacing w:after="0" w:line="129" w:lineRule="exact"/>
              <w:rPr>
                <w:sz w:val="20"/>
                <w:szCs w:val="20"/>
                <w:color w:val="auto"/>
              </w:rPr>
            </w:pPr>
            <w:r>
              <w:rPr>
                <w:rFonts w:ascii="Arial" w:cs="Arial" w:eastAsia="Arial" w:hAnsi="Arial"/>
                <w:sz w:val="12"/>
                <w:szCs w:val="12"/>
                <w:b w:val="1"/>
                <w:bCs w:val="1"/>
                <w:color w:val="auto"/>
              </w:rPr>
              <w:t>Form:</w:t>
            </w:r>
          </w:p>
        </w:tc>
        <w:tc>
          <w:tcPr>
            <w:tcW w:w="680" w:type="dxa"/>
            <w:vAlign w:val="bottom"/>
            <w:tcBorders>
              <w:right w:val="single" w:sz="8" w:color="2C2C2C"/>
            </w:tcBorders>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7"/>
              </w:rPr>
              <w:t>Securities</w:t>
            </w: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w w:val="98"/>
              </w:rPr>
              <w:t>Derivative Security</w:t>
            </w:r>
          </w:p>
        </w:tc>
        <w:tc>
          <w:tcPr>
            <w:tcW w:w="6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6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Beneficially</w:t>
            </w:r>
          </w:p>
        </w:tc>
        <w:tc>
          <w:tcPr>
            <w:tcW w:w="1020" w:type="dxa"/>
            <w:vAlign w:val="bottom"/>
            <w:gridSpan w:val="2"/>
          </w:tcPr>
          <w:p>
            <w:pPr>
              <w:ind w:left="280"/>
              <w:spacing w:after="0" w:line="129" w:lineRule="exact"/>
              <w:rPr>
                <w:sz w:val="20"/>
                <w:szCs w:val="20"/>
                <w:color w:val="auto"/>
              </w:rPr>
            </w:pPr>
            <w:r>
              <w:rPr>
                <w:rFonts w:ascii="Arial" w:cs="Arial" w:eastAsia="Arial" w:hAnsi="Arial"/>
                <w:sz w:val="12"/>
                <w:szCs w:val="12"/>
                <w:b w:val="1"/>
                <w:bCs w:val="1"/>
                <w:color w:val="auto"/>
              </w:rPr>
              <w:t>Direct (D)</w:t>
            </w:r>
          </w:p>
        </w:tc>
        <w:tc>
          <w:tcPr>
            <w:tcW w:w="680" w:type="dxa"/>
            <w:vAlign w:val="bottom"/>
            <w:tcBorders>
              <w:right w:val="single" w:sz="8" w:color="2C2C2C"/>
            </w:tcBorders>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1020" w:type="dxa"/>
            <w:vAlign w:val="bottom"/>
            <w:gridSpan w:val="2"/>
          </w:tcPr>
          <w:p>
            <w:pPr>
              <w:ind w:left="280"/>
              <w:spacing w:after="0" w:line="129" w:lineRule="exact"/>
              <w:rPr>
                <w:sz w:val="20"/>
                <w:szCs w:val="20"/>
                <w:color w:val="auto"/>
              </w:rPr>
            </w:pPr>
            <w:r>
              <w:rPr>
                <w:rFonts w:ascii="Arial" w:cs="Arial" w:eastAsia="Arial" w:hAnsi="Arial"/>
                <w:sz w:val="12"/>
                <w:szCs w:val="12"/>
                <w:b w:val="1"/>
                <w:bCs w:val="1"/>
                <w:color w:val="auto"/>
              </w:rPr>
              <w:t>or Indirect</w:t>
            </w:r>
          </w:p>
        </w:tc>
        <w:tc>
          <w:tcPr>
            <w:tcW w:w="680" w:type="dxa"/>
            <w:vAlign w:val="bottom"/>
            <w:tcBorders>
              <w:right w:val="single" w:sz="8" w:color="2C2C2C"/>
            </w:tcBorders>
            <w:gridSpan w:val="3"/>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1020" w:type="dxa"/>
            <w:vAlign w:val="bottom"/>
            <w:gridSpan w:val="2"/>
          </w:tcPr>
          <w:p>
            <w:pPr>
              <w:ind w:left="280"/>
              <w:spacing w:after="0" w:line="129" w:lineRule="exact"/>
              <w:rPr>
                <w:sz w:val="20"/>
                <w:szCs w:val="20"/>
                <w:color w:val="auto"/>
              </w:rPr>
            </w:pPr>
            <w:r>
              <w:rPr>
                <w:rFonts w:ascii="Arial" w:cs="Arial" w:eastAsia="Arial" w:hAnsi="Arial"/>
                <w:sz w:val="12"/>
                <w:szCs w:val="12"/>
                <w:b w:val="1"/>
                <w:bCs w:val="1"/>
                <w:color w:val="auto"/>
              </w:rPr>
              <w:t>(I) (Instr. 4)</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w w:val="95"/>
              </w:rPr>
              <w:t>3, 4 and 5)</w:t>
            </w: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gridSpan w:val="2"/>
          </w:tcPr>
          <w:p>
            <w:pPr>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0"/>
              <w:spacing w:after="0" w:line="129"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jc w:val="center"/>
              <w:ind w:left="151"/>
              <w:spacing w:after="0" w:line="129"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3"/>
          </w:tcPr>
          <w:p>
            <w:pPr>
              <w:ind w:left="20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320" w:type="dxa"/>
            <w:vAlign w:val="bottom"/>
          </w:tcPr>
          <w:p>
            <w:pPr>
              <w:spacing w:after="0"/>
              <w:rPr>
                <w:sz w:val="13"/>
                <w:szCs w:val="13"/>
                <w:color w:val="auto"/>
              </w:rPr>
            </w:pPr>
          </w:p>
        </w:tc>
        <w:tc>
          <w:tcPr>
            <w:tcW w:w="4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3"/>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(12)</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0000FF"/>
              </w:rPr>
              <w:t>04/30/2026</w:t>
            </w:r>
          </w:p>
        </w:tc>
        <w:tc>
          <w:tcPr>
            <w:tcW w:w="1140" w:type="dxa"/>
            <w:vAlign w:val="bottom"/>
          </w:tcPr>
          <w:p>
            <w:pPr>
              <w:spacing w:after="0"/>
              <w:rPr>
                <w:sz w:val="20"/>
                <w:szCs w:val="20"/>
                <w:color w:val="auto"/>
              </w:rPr>
            </w:pPr>
          </w:p>
        </w:tc>
        <w:tc>
          <w:tcPr>
            <w:tcW w:w="380" w:type="dxa"/>
            <w:vAlign w:val="bottom"/>
          </w:tcPr>
          <w:p>
            <w:pPr>
              <w:jc w:val="right"/>
              <w:ind w:right="6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20"/>
                <w:szCs w:val="20"/>
                <w:color w:val="auto"/>
              </w:rPr>
            </w:pPr>
          </w:p>
        </w:tc>
        <w:tc>
          <w:tcPr>
            <w:tcW w:w="1040" w:type="dxa"/>
            <w:vAlign w:val="bottom"/>
            <w:gridSpan w:val="3"/>
          </w:tcPr>
          <w:p>
            <w:pPr>
              <w:ind w:left="380"/>
              <w:spacing w:after="0"/>
              <w:rPr>
                <w:sz w:val="20"/>
                <w:szCs w:val="20"/>
                <w:color w:val="auto"/>
              </w:rPr>
            </w:pPr>
            <w:r>
              <w:rPr>
                <w:rFonts w:ascii="Times New Roman" w:cs="Times New Roman" w:eastAsia="Times New Roman" w:hAnsi="Times New Roman"/>
                <w:sz w:val="13"/>
                <w:szCs w:val="13"/>
                <w:color w:val="0000FF"/>
              </w:rPr>
              <w:t>22,918</w:t>
            </w:r>
          </w:p>
        </w:tc>
        <w:tc>
          <w:tcPr>
            <w:tcW w:w="36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(13)</w:t>
            </w:r>
          </w:p>
        </w:tc>
        <w:tc>
          <w:tcPr>
            <w:tcW w:w="840" w:type="dxa"/>
            <w:vAlign w:val="bottom"/>
          </w:tcPr>
          <w:p>
            <w:pPr>
              <w:jc w:val="center"/>
              <w:ind w:left="171"/>
              <w:spacing w:after="0"/>
              <w:rPr>
                <w:sz w:val="20"/>
                <w:szCs w:val="20"/>
                <w:color w:val="auto"/>
              </w:rPr>
            </w:pPr>
            <w:r>
              <w:rPr>
                <w:rFonts w:ascii="Times New Roman" w:cs="Times New Roman" w:eastAsia="Times New Roman" w:hAnsi="Times New Roman"/>
                <w:sz w:val="11"/>
                <w:szCs w:val="11"/>
                <w:color w:val="008000"/>
                <w:w w:val="87"/>
              </w:rPr>
              <w:t>(13)</w:t>
            </w: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rPr>
              <w:t>Common</w:t>
            </w:r>
          </w:p>
        </w:tc>
        <w:tc>
          <w:tcPr>
            <w:tcW w:w="4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4"/>
              </w:rPr>
              <w:t>22,918</w:t>
            </w:r>
          </w:p>
        </w:tc>
        <w:tc>
          <w:tcPr>
            <w:tcW w:w="820" w:type="dxa"/>
            <w:vAlign w:val="bottom"/>
            <w:gridSpan w:val="2"/>
          </w:tcPr>
          <w:p>
            <w:pPr>
              <w:ind w:left="3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6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185,307</w:t>
            </w:r>
          </w:p>
        </w:tc>
        <w:tc>
          <w:tcPr>
            <w:tcW w:w="500" w:type="dxa"/>
            <w:vAlign w:val="bottom"/>
          </w:tcPr>
          <w:p>
            <w:pPr>
              <w:spacing w:after="0"/>
              <w:rPr>
                <w:sz w:val="20"/>
                <w:szCs w:val="20"/>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D</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3"/>
                <w:szCs w:val="13"/>
                <w:color w:val="0000FF"/>
              </w:rPr>
              <w:t>Stock</w:t>
            </w:r>
          </w:p>
        </w:tc>
        <w:tc>
          <w:tcPr>
            <w:tcW w:w="4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(12)</w:t>
            </w:r>
          </w:p>
        </w:tc>
        <w:tc>
          <w:tcPr>
            <w:tcW w:w="1040" w:type="dxa"/>
            <w:vAlign w:val="bottom"/>
            <w:vMerge w:val="restart"/>
          </w:tcPr>
          <w:p>
            <w:pPr>
              <w:jc w:val="right"/>
              <w:ind w:right="139"/>
              <w:spacing w:after="0"/>
              <w:rPr>
                <w:sz w:val="20"/>
                <w:szCs w:val="20"/>
                <w:color w:val="auto"/>
              </w:rPr>
            </w:pPr>
            <w:r>
              <w:rPr>
                <w:rFonts w:ascii="Times New Roman" w:cs="Times New Roman" w:eastAsia="Times New Roman" w:hAnsi="Times New Roman"/>
                <w:sz w:val="13"/>
                <w:szCs w:val="13"/>
                <w:color w:val="0000FF"/>
              </w:rPr>
              <w:t>04/30/2026</w:t>
            </w:r>
          </w:p>
        </w:tc>
        <w:tc>
          <w:tcPr>
            <w:tcW w:w="1140" w:type="dxa"/>
            <w:vAlign w:val="bottom"/>
          </w:tcPr>
          <w:p>
            <w:pPr>
              <w:spacing w:after="0"/>
              <w:rPr>
                <w:sz w:val="15"/>
                <w:szCs w:val="15"/>
                <w:color w:val="auto"/>
              </w:rPr>
            </w:pPr>
          </w:p>
        </w:tc>
        <w:tc>
          <w:tcPr>
            <w:tcW w:w="380" w:type="dxa"/>
            <w:vAlign w:val="bottom"/>
            <w:vMerge w:val="restart"/>
          </w:tcPr>
          <w:p>
            <w:pPr>
              <w:jc w:val="right"/>
              <w:ind w:right="6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5"/>
                <w:szCs w:val="15"/>
                <w:color w:val="auto"/>
              </w:rPr>
            </w:pPr>
          </w:p>
        </w:tc>
        <w:tc>
          <w:tcPr>
            <w:tcW w:w="1040" w:type="dxa"/>
            <w:vAlign w:val="bottom"/>
            <w:gridSpan w:val="3"/>
            <w:vMerge w:val="restart"/>
          </w:tcPr>
          <w:p>
            <w:pPr>
              <w:ind w:left="380"/>
              <w:spacing w:after="0"/>
              <w:rPr>
                <w:sz w:val="20"/>
                <w:szCs w:val="20"/>
                <w:color w:val="auto"/>
              </w:rPr>
            </w:pPr>
            <w:r>
              <w:rPr>
                <w:rFonts w:ascii="Times New Roman" w:cs="Times New Roman" w:eastAsia="Times New Roman" w:hAnsi="Times New Roman"/>
                <w:sz w:val="13"/>
                <w:szCs w:val="13"/>
                <w:color w:val="0000FF"/>
              </w:rPr>
              <w:t>22,918</w:t>
            </w:r>
          </w:p>
        </w:tc>
        <w:tc>
          <w:tcPr>
            <w:tcW w:w="36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(13)</w:t>
            </w:r>
          </w:p>
        </w:tc>
        <w:tc>
          <w:tcPr>
            <w:tcW w:w="840" w:type="dxa"/>
            <w:vAlign w:val="bottom"/>
            <w:vMerge w:val="restart"/>
          </w:tcPr>
          <w:p>
            <w:pPr>
              <w:jc w:val="center"/>
              <w:ind w:left="171"/>
              <w:spacing w:after="0"/>
              <w:rPr>
                <w:sz w:val="20"/>
                <w:szCs w:val="20"/>
                <w:color w:val="auto"/>
              </w:rPr>
            </w:pPr>
            <w:r>
              <w:rPr>
                <w:rFonts w:ascii="Times New Roman" w:cs="Times New Roman" w:eastAsia="Times New Roman" w:hAnsi="Times New Roman"/>
                <w:sz w:val="11"/>
                <w:szCs w:val="11"/>
                <w:color w:val="008000"/>
                <w:w w:val="87"/>
              </w:rPr>
              <w:t>(13)</w:t>
            </w: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rPr>
              <w:t>Common</w:t>
            </w:r>
          </w:p>
        </w:tc>
        <w:tc>
          <w:tcPr>
            <w:tcW w:w="4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w w:val="94"/>
              </w:rPr>
              <w:t>22,918</w:t>
            </w:r>
          </w:p>
        </w:tc>
        <w:tc>
          <w:tcPr>
            <w:tcW w:w="820" w:type="dxa"/>
            <w:vAlign w:val="bottom"/>
            <w:gridSpan w:val="2"/>
            <w:vMerge w:val="restart"/>
          </w:tcPr>
          <w:p>
            <w:pPr>
              <w:ind w:left="3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6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185,307</w:t>
            </w:r>
          </w:p>
        </w:tc>
        <w:tc>
          <w:tcPr>
            <w:tcW w:w="500" w:type="dxa"/>
            <w:vAlign w:val="bottom"/>
          </w:tcPr>
          <w:p>
            <w:pPr>
              <w:spacing w:after="0"/>
              <w:rPr>
                <w:sz w:val="15"/>
                <w:szCs w:val="15"/>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I</w:t>
            </w:r>
          </w:p>
        </w:tc>
        <w:tc>
          <w:tcPr>
            <w:tcW w:w="680" w:type="dxa"/>
            <w:vAlign w:val="bottom"/>
            <w:tcBorders>
              <w:right w:val="single" w:sz="8" w:color="2C2C2C"/>
            </w:tcBorders>
            <w:gridSpan w:val="3"/>
          </w:tcPr>
          <w:p>
            <w:pPr>
              <w:spacing w:after="0"/>
              <w:rPr>
                <w:sz w:val="20"/>
                <w:szCs w:val="20"/>
                <w:color w:val="auto"/>
              </w:rPr>
            </w:pPr>
            <w:r>
              <w:rPr>
                <w:rFonts w:ascii="Times New Roman" w:cs="Times New Roman" w:eastAsia="Times New Roman" w:hAnsi="Times New Roman"/>
                <w:sz w:val="13"/>
                <w:szCs w:val="13"/>
                <w:color w:val="0000FF"/>
              </w:rPr>
              <w:t>By</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ind w:left="60"/>
              <w:spacing w:after="0" w:line="65" w:lineRule="exact"/>
              <w:rPr>
                <w:sz w:val="20"/>
                <w:szCs w:val="20"/>
                <w:color w:val="auto"/>
              </w:rPr>
            </w:pPr>
            <w:r>
              <w:rPr>
                <w:rFonts w:ascii="Times New Roman" w:cs="Times New Roman" w:eastAsia="Times New Roman" w:hAnsi="Times New Roman"/>
                <w:sz w:val="6"/>
                <w:szCs w:val="6"/>
                <w:color w:val="0000FF"/>
              </w:rPr>
              <w:t>Stock Unit</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740" w:type="dxa"/>
            <w:vAlign w:val="bottom"/>
            <w:gridSpan w:val="2"/>
          </w:tcPr>
          <w:p>
            <w:pPr>
              <w:ind w:left="220"/>
              <w:spacing w:after="0" w:line="65" w:lineRule="exact"/>
              <w:rPr>
                <w:sz w:val="20"/>
                <w:szCs w:val="20"/>
                <w:color w:val="auto"/>
              </w:rPr>
            </w:pPr>
            <w:r>
              <w:rPr>
                <w:rFonts w:ascii="Times New Roman" w:cs="Times New Roman" w:eastAsia="Times New Roman" w:hAnsi="Times New Roman"/>
                <w:sz w:val="6"/>
                <w:szCs w:val="6"/>
                <w:color w:val="0000FF"/>
              </w:rPr>
              <w:t>Stock</w:t>
            </w:r>
          </w:p>
        </w:tc>
        <w:tc>
          <w:tcPr>
            <w:tcW w:w="460" w:type="dxa"/>
            <w:vAlign w:val="bottom"/>
            <w:gridSpan w:val="2"/>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tcBorders>
              <w:right w:val="single" w:sz="8" w:color="2C2C2C"/>
            </w:tcBorders>
            <w:gridSpan w:val="3"/>
          </w:tcPr>
          <w:p>
            <w:pPr>
              <w:spacing w:after="0" w:line="65" w:lineRule="exact"/>
              <w:rPr>
                <w:sz w:val="20"/>
                <w:szCs w:val="20"/>
                <w:color w:val="auto"/>
              </w:rPr>
            </w:pPr>
            <w:r>
              <w:rPr>
                <w:rFonts w:ascii="Times New Roman" w:cs="Times New Roman" w:eastAsia="Times New Roman" w:hAnsi="Times New Roman"/>
                <w:sz w:val="6"/>
                <w:szCs w:val="6"/>
                <w:color w:val="0000FF"/>
              </w:rPr>
              <w:t>Spouse</w:t>
            </w:r>
            <w:r>
              <w:rPr>
                <w:rFonts w:ascii="Times New Roman" w:cs="Times New Roman" w:eastAsia="Times New Roman" w:hAnsi="Times New Roman"/>
                <w:sz w:val="7"/>
                <w:szCs w:val="7"/>
                <w:color w:val="008000"/>
                <w:vertAlign w:val="superscript"/>
              </w:rPr>
              <w:t>(6)</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38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36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-2200910</wp:posOffset>
            </wp:positionV>
            <wp:extent cx="29210" cy="2205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20599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Sold pursuant to a 10b5-1 trading plan adopted by the Reporting Person on November 21, 2025.</w:t>
      </w:r>
    </w:p>
    <w:p>
      <w:pPr>
        <w:spacing w:after="0" w:line="44" w:lineRule="exact"/>
        <w:rPr>
          <w:rFonts w:ascii="Times New Roman" w:cs="Times New Roman" w:eastAsia="Times New Roman" w:hAnsi="Times New Roman"/>
          <w:sz w:val="13"/>
          <w:szCs w:val="13"/>
          <w:color w:val="008000"/>
        </w:rPr>
      </w:pPr>
    </w:p>
    <w:p>
      <w:pPr>
        <w:ind w:left="40" w:right="32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price of the shares sold. The prices of the shares sold pursuant to the transactions ranges from $18.75 to $18.90 per share. The Reporting Person, upon request, will provide the Securities and Exchange Commission staff, the issuer or a security holder of the issuer full information regarding the number of shares sold at each separate price.</w:t>
      </w:r>
    </w:p>
    <w:p>
      <w:pPr>
        <w:spacing w:after="0" w:line="16" w:lineRule="exact"/>
        <w:rPr>
          <w:rFonts w:ascii="Times New Roman" w:cs="Times New Roman" w:eastAsia="Times New Roman" w:hAnsi="Times New Roman"/>
          <w:sz w:val="13"/>
          <w:szCs w:val="13"/>
          <w:color w:val="008000"/>
        </w:rPr>
      </w:pPr>
    </w:p>
    <w:p>
      <w:pPr>
        <w:ind w:left="40" w:right="220" w:firstLine="2"/>
        <w:spacing w:after="0" w:line="259" w:lineRule="auto"/>
        <w:tabs>
          <w:tab w:leader="none" w:pos="16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securities reported herein are held by Securus Risk Management LLC, which is an entity controlled by the Reporting Person. The Reporting Person disclaims beneficial ownership of these securities except to the extent of her pecuniary interest therein, and the inclusion of these shares in this report shall not be deemed an admission of beneficial ownership of all of the reported shares for purposes of Section</w:t>
      </w:r>
    </w:p>
    <w:p>
      <w:pPr>
        <w:ind w:left="200" w:hanging="158"/>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or for any other purpose.</w:t>
      </w:r>
    </w:p>
    <w:p>
      <w:pPr>
        <w:spacing w:after="0" w:line="30" w:lineRule="exact"/>
        <w:rPr>
          <w:rFonts w:ascii="Times New Roman" w:cs="Times New Roman" w:eastAsia="Times New Roman" w:hAnsi="Times New Roman"/>
          <w:sz w:val="13"/>
          <w:szCs w:val="13"/>
          <w:color w:val="008000"/>
        </w:rPr>
      </w:pPr>
    </w:p>
    <w:p>
      <w:pPr>
        <w:ind w:left="40" w:right="320" w:firstLine="2"/>
        <w:spacing w:after="0" w:line="256" w:lineRule="auto"/>
        <w:tabs>
          <w:tab w:leader="none" w:pos="16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price of the shares sold. The prices of the shares sold pursuant to the transactions ranges from $18.80 to $19.06 per share. The Reporting Person, upon request, will provide the Securities and Exchange Commission staff, the issuer or a security holder of the issuer full information regarding the number of shares sold at each separate price.</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shown reflects the amount owned by the Reporting Person's spouse after the vesting of 22,918 restricted stock units on April 30, 2026 and the withholding of 9,019 shares of common stock for the</w:t>
      </w:r>
    </w:p>
    <w:p>
      <w:pPr>
        <w:sectPr>
          <w:pgSz w:w="11900" w:h="16838"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payment of the tax liability associated therewith.</w:t>
      </w:r>
    </w:p>
    <w:p>
      <w:pPr>
        <w:spacing w:after="0" w:line="44" w:lineRule="exact"/>
        <w:rPr>
          <w:sz w:val="20"/>
          <w:szCs w:val="20"/>
          <w:color w:val="auto"/>
        </w:rPr>
      </w:pPr>
    </w:p>
    <w:p>
      <w:pPr>
        <w:ind w:right="40" w:firstLine="2"/>
        <w:spacing w:after="0" w:line="256" w:lineRule="auto"/>
        <w:tabs>
          <w:tab w:leader="none" w:pos="129" w:val="left"/>
        </w:tabs>
        <w:numPr>
          <w:ilvl w:val="0"/>
          <w:numId w:val="4"/>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shares of common stock beneficially owned by the Reporting Person's spouse. The Reporting Person disclaims beneficial ownership of these securities except to the extent of her pecuniary interest therein, and the inclusion of these shares in this report shall not be deemed an admission of beneficial ownership of all of the reported shares for purposes of Section 16 or for any other purpose.</w:t>
      </w:r>
    </w:p>
    <w:p>
      <w:pPr>
        <w:spacing w:after="0" w:line="16" w:lineRule="exact"/>
        <w:rPr>
          <w:rFonts w:ascii="Times New Roman" w:cs="Times New Roman" w:eastAsia="Times New Roman" w:hAnsi="Times New Roman"/>
          <w:sz w:val="13"/>
          <w:szCs w:val="13"/>
          <w:color w:val="008000"/>
        </w:rPr>
      </w:pPr>
    </w:p>
    <w:p>
      <w:pPr>
        <w:ind w:right="20" w:firstLine="2"/>
        <w:spacing w:after="0" w:line="256" w:lineRule="auto"/>
        <w:tabs>
          <w:tab w:leader="none" w:pos="129" w:val="left"/>
        </w:tabs>
        <w:numPr>
          <w:ilvl w:val="0"/>
          <w:numId w:val="4"/>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shown reflects the amount owned by the Reporting Person's spouse after the sale of 152,641 shares of common stock between May 1-4 , 2026, pursuant to a 10b5-1 trading plan, at prices ranging from $18.75 to $19.06 per share.</w:t>
      </w:r>
    </w:p>
    <w:p>
      <w:pPr>
        <w:spacing w:after="0" w:line="16" w:lineRule="exact"/>
        <w:rPr>
          <w:rFonts w:ascii="Times New Roman" w:cs="Times New Roman" w:eastAsia="Times New Roman" w:hAnsi="Times New Roman"/>
          <w:sz w:val="13"/>
          <w:szCs w:val="13"/>
          <w:color w:val="008000"/>
        </w:rPr>
      </w:pPr>
    </w:p>
    <w:p>
      <w:pPr>
        <w:ind w:firstLine="2"/>
        <w:spacing w:after="0" w:line="242" w:lineRule="auto"/>
        <w:tabs>
          <w:tab w:leader="none" w:pos="129" w:val="left"/>
        </w:tabs>
        <w:numPr>
          <w:ilvl w:val="0"/>
          <w:numId w:val="4"/>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shares of common stock beneficially owned by the Reporting Person's spouse through IIM Holdings II, LLC. The Reporting Person disclaims beneficial ownership of these securities except to the extent of her pecuniary interest therein, and the inclusion of these shares in this report shall not be deemed an admission of beneficial ownership of all of the reported shares for purposes of Section 16 or for any other purpose.</w:t>
      </w:r>
    </w:p>
    <w:p>
      <w:pPr>
        <w:spacing w:after="0" w:line="25" w:lineRule="exact"/>
        <w:rPr>
          <w:rFonts w:ascii="Times New Roman" w:cs="Times New Roman" w:eastAsia="Times New Roman" w:hAnsi="Times New Roman"/>
          <w:sz w:val="13"/>
          <w:szCs w:val="13"/>
          <w:color w:val="008000"/>
        </w:rPr>
      </w:pPr>
    </w:p>
    <w:p>
      <w:pPr>
        <w:ind w:right="40" w:firstLine="2"/>
        <w:spacing w:after="0" w:line="242" w:lineRule="auto"/>
        <w:tabs>
          <w:tab w:leader="none" w:pos="129" w:val="left"/>
        </w:tabs>
        <w:numPr>
          <w:ilvl w:val="0"/>
          <w:numId w:val="4"/>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shares held through the Emma Cloonen Irrevocable Trust, of which the Reporting Person's spouse is the trustee.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25" w:lineRule="exact"/>
        <w:rPr>
          <w:rFonts w:ascii="Times New Roman" w:cs="Times New Roman" w:eastAsia="Times New Roman" w:hAnsi="Times New Roman"/>
          <w:sz w:val="13"/>
          <w:szCs w:val="13"/>
          <w:color w:val="008000"/>
        </w:rPr>
      </w:pPr>
    </w:p>
    <w:p>
      <w:pPr>
        <w:jc w:val="both"/>
        <w:ind w:firstLine="2"/>
        <w:spacing w:after="0" w:line="242" w:lineRule="auto"/>
        <w:tabs>
          <w:tab w:leader="none" w:pos="194" w:val="left"/>
        </w:tabs>
        <w:numPr>
          <w:ilvl w:val="0"/>
          <w:numId w:val="4"/>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shares held through the Ava Cloonen Irrevocable Trust, of which the Reporting Person's spouse is the trustee.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25" w:lineRule="exact"/>
        <w:rPr>
          <w:rFonts w:ascii="Times New Roman" w:cs="Times New Roman" w:eastAsia="Times New Roman" w:hAnsi="Times New Roman"/>
          <w:sz w:val="13"/>
          <w:szCs w:val="13"/>
          <w:color w:val="008000"/>
        </w:rPr>
      </w:pPr>
    </w:p>
    <w:p>
      <w:pPr>
        <w:ind w:right="40" w:firstLine="2"/>
        <w:spacing w:after="0" w:line="242" w:lineRule="auto"/>
        <w:tabs>
          <w:tab w:leader="none" w:pos="189" w:val="left"/>
        </w:tabs>
        <w:numPr>
          <w:ilvl w:val="0"/>
          <w:numId w:val="4"/>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shares of common stock held by the Reporting Person's spouse through Bruce Lucas Irrevocable Grantor Retained Annuity Trust of 2014. The Reporting Person disclaims beneficial ownership of these securities except to the extent of her pecuniary interest therein, and the inclusion of these shares in this report shall not be deemed an admission of beneficial ownership of all of the reported shares for purposes of Section 16 or for any other purpose.</w:t>
      </w:r>
    </w:p>
    <w:p>
      <w:pPr>
        <w:spacing w:after="0" w:line="25" w:lineRule="exact"/>
        <w:rPr>
          <w:rFonts w:ascii="Times New Roman" w:cs="Times New Roman" w:eastAsia="Times New Roman" w:hAnsi="Times New Roman"/>
          <w:sz w:val="13"/>
          <w:szCs w:val="13"/>
          <w:color w:val="008000"/>
        </w:rPr>
      </w:pPr>
    </w:p>
    <w:p>
      <w:pPr>
        <w:ind w:left="200" w:hanging="198"/>
        <w:spacing w:after="0"/>
        <w:tabs>
          <w:tab w:leader="none" w:pos="200" w:val="left"/>
        </w:tabs>
        <w:numPr>
          <w:ilvl w:val="0"/>
          <w:numId w:val="4"/>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issuer's common stock.</w:t>
      </w:r>
    </w:p>
    <w:p>
      <w:pPr>
        <w:spacing w:after="0" w:line="44" w:lineRule="exact"/>
        <w:rPr>
          <w:rFonts w:ascii="Times New Roman" w:cs="Times New Roman" w:eastAsia="Times New Roman" w:hAnsi="Times New Roman"/>
          <w:sz w:val="13"/>
          <w:szCs w:val="13"/>
          <w:color w:val="008000"/>
        </w:rPr>
      </w:pPr>
    </w:p>
    <w:p>
      <w:pPr>
        <w:ind w:right="220" w:firstLine="2"/>
        <w:spacing w:after="0" w:line="248" w:lineRule="auto"/>
        <w:tabs>
          <w:tab w:leader="none" w:pos="194" w:val="left"/>
        </w:tabs>
        <w:numPr>
          <w:ilvl w:val="0"/>
          <w:numId w:val="4"/>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vest in 24 equal monthly installments commencing on January 1, 2025 and ending on December 31, 2026, subject to the Reporting Person's continued employment or service through each applicable vesting date.</w:t>
      </w:r>
    </w:p>
    <w:p>
      <w:pPr>
        <w:ind w:left="6560"/>
        <w:spacing w:after="0" w:line="180" w:lineRule="auto"/>
        <w:rPr>
          <w:sz w:val="20"/>
          <w:szCs w:val="20"/>
          <w:color w:val="auto"/>
        </w:rPr>
      </w:pPr>
      <w:r>
        <w:rPr>
          <w:rFonts w:ascii="Times New Roman" w:cs="Times New Roman" w:eastAsia="Times New Roman" w:hAnsi="Times New Roman"/>
          <w:sz w:val="16"/>
          <w:szCs w:val="16"/>
          <w:color w:val="0000FF"/>
        </w:rPr>
        <w:t xml:space="preserve">/s/ Andy Omiridis, Attorney-in- </w:t>
      </w:r>
      <w:r>
        <w:rPr>
          <w:rFonts w:ascii="Times New Roman" w:cs="Times New Roman" w:eastAsia="Times New Roman" w:hAnsi="Times New Roman"/>
          <w:sz w:val="32"/>
          <w:szCs w:val="32"/>
          <w:color w:val="0000FF"/>
          <w:vertAlign w:val="subscript"/>
        </w:rPr>
        <w:t>05/04/2026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-26670</wp:posOffset>
            </wp:positionV>
            <wp:extent cx="1355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57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 for Shannon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-20320</wp:posOffset>
            </wp:positionV>
            <wp:extent cx="10153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15365" cy="8255"/>
                    </a:xfrm>
                    <a:prstGeom prst="rect">
                      <a:avLst/>
                    </a:prstGeom>
                    <a:noFill/>
                  </pic:spPr>
                </pic:pic>
              </a:graphicData>
            </a:graphic>
          </wp:anchor>
        </w:drawing>
        <w:drawing>
          <wp:anchor simplePos="0" relativeHeight="251657728" behindDoc="1" locked="0" layoutInCell="0" allowOverlap="1">
            <wp:simplePos x="0" y="0"/>
            <wp:positionH relativeFrom="column">
              <wp:posOffset>5559425</wp:posOffset>
            </wp:positionH>
            <wp:positionV relativeFrom="paragraph">
              <wp:posOffset>-85725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380" w:firstLine="2"/>
        <w:spacing w:after="0" w:line="336" w:lineRule="auto"/>
        <w:tabs>
          <w:tab w:leader="none" w:pos="136"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2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16"/>
    </w:lvl>
  </w:abstractNum>
  <w:abstractNum w:abstractNumId="2">
    <w:nsid w:val="625558EC"/>
    <w:multiLevelType w:val="hybridMultilevel"/>
    <w:lvl w:ilvl="0">
      <w:lvlJc w:val="left"/>
      <w:lvlText w:val="%1."/>
      <w:numFmt w:val="decimal"/>
      <w:start w:val="4"/>
    </w:lvl>
  </w:abstractNum>
  <w:abstractNum w:abstractNumId="3">
    <w:nsid w:val="238E1F29"/>
    <w:multiLevelType w:val="hybridMultilevel"/>
    <w:lvl w:ilvl="0">
      <w:lvlJc w:val="left"/>
      <w:lvlText w:val="%1."/>
      <w:numFmt w:val="decimal"/>
      <w:start w:val="6"/>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32356" TargetMode="External"/><Relationship Id="rId14" Type="http://schemas.openxmlformats.org/officeDocument/2006/relationships/hyperlink" Target="http://www.sec.gov/cgi-bin/browse-edgar?action=getcompany&amp;CIK=0001886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2026-05-04T19:35:08Z</dcterms:created>
  <dcterms:modified xsi:type="dcterms:W3CDTF">2026-05-04T19:35:08Z</dcterms:modified>
</cp:coreProperties>
</file>