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Lucas Shannon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SLIDE INSURANCE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4221 W. BOY SCOUT BLVD.,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Slide Insurance Holdings, Inc.</w:t>
              </w:r>
            </w:hyperlink>
            <w:r>
              <w:rPr/>
              <w:t xml:space="preserve"> [ </w:t>
            </w:r>
            <w:r>
              <w:rPr>
                <w:rFonts w:ascii="Times;serif" w:hAnsi="Times;serif"/>
                <w:color w:val="0000FF"/>
                <w:sz w:val="24"/>
                <w:shd w:fill="FFFFFF" w:val="clear"/>
              </w:rPr>
              <w:t>SLDE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9"/>
        <w:gridCol w:w="800"/>
        <w:gridCol w:w="617"/>
        <w:gridCol w:w="335"/>
        <w:gridCol w:w="895"/>
        <w:gridCol w:w="400"/>
        <w:gridCol w:w="743"/>
        <w:gridCol w:w="1338"/>
        <w:gridCol w:w="945"/>
        <w:gridCol w:w="14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298,517</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9,019</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22.31</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289,498</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1,118,756</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Securus Risk Management, LLC</w:t>
            </w:r>
            <w:r>
              <w:rPr>
                <w:rFonts w:ascii="Times;serif" w:hAnsi="Times;serif"/>
                <w:color w:val="008000"/>
                <w:position w:val="7"/>
                <w:sz w:val="16"/>
                <w:sz w:val="20"/>
                <w:shd w:fill="FFFFFF" w:val="clear"/>
              </w:rPr>
              <w:t>(1)</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2,220,943</w:t>
            </w:r>
            <w:r>
              <w:rPr>
                <w:rFonts w:ascii="Times;serif" w:hAnsi="Times;serif"/>
                <w:color w:val="008000"/>
                <w:position w:val="7"/>
                <w:sz w:val="16"/>
                <w:sz w:val="20"/>
                <w:shd w:fill="FFFFFF" w:val="clear"/>
              </w:rPr>
              <w:t>(2)</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34,506,199</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(5)</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(6)</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70,714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70,714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by Securus Risk Management LLC, which is an entity controlled by the Reporting Person.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shown reflects the amount owned by the Reporting Person's spouse after the vesting of 22,919 restricted stock units on September 30, 2026 and the withholding of 9,019 shares of common stock for the payment of the tax liability associated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 shares of common stock beneficially owned by the Reporting Person's spouse.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 shares of common stock beneficially owned by the Reporting Person's spouse through IIM Holdings II, LLC.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 shares held through the Emma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 shares held through the Ava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stock units vest in 24 equal monthly installments commencing on January 1, 2025 and ending on December 31, 2026, subject to the Reporting Person's continued employment or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Omiridis, Attorney-in-Fact for Shannon Lucas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356" TargetMode="External"/><Relationship Id="rId5" Type="http://schemas.openxmlformats.org/officeDocument/2006/relationships/hyperlink" Target="http://www.sec.gov/cgi-bin/browse-edgar?action=getcompany&amp;CIK=0001886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1100</Words>
  <Characters>5856</Characters>
  <CharactersWithSpaces>6823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