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285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285355"/>
                    </a:xfrm>
                    <a:prstGeom prst="rect">
                      <a:avLst/>
                    </a:prstGeom>
                    <a:noFill/>
                  </pic:spPr>
                </pic:pic>
              </a:graphicData>
            </a:graphic>
          </wp:anchor>
        </w:drawing>
      </w:r>
    </w:p>
    <w:p>
      <w:pPr>
        <w:spacing w:after="0" w:line="1285" w:lineRule="exact"/>
        <w:rPr>
          <w:sz w:val="24"/>
          <w:szCs w:val="24"/>
          <w:color w:val="auto"/>
        </w:rPr>
      </w:pPr>
    </w:p>
    <w:p>
      <w:pPr>
        <w:sectPr>
          <w:pgSz w:w="11900" w:h="16907"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Lucas Bruce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SLIDE INSURANCE HOLDINGS, INC. 4221 W. BOY SCOUT BLVD., SUITE 200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33607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Slide Insurance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SLDE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6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907"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8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IIM</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05/27/2026</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ind w:left="80"/>
              <w:spacing w:after="0" w:line="213" w:lineRule="exact"/>
              <w:rPr>
                <w:sz w:val="20"/>
                <w:szCs w:val="20"/>
                <w:color w:val="auto"/>
              </w:rPr>
            </w:pPr>
            <w:r>
              <w:rPr>
                <w:rFonts w:ascii="Times New Roman" w:cs="Times New Roman" w:eastAsia="Times New Roman" w:hAnsi="Times New Roman"/>
                <w:sz w:val="17"/>
                <w:szCs w:val="17"/>
                <w:color w:val="0000FF"/>
              </w:rPr>
              <w:t>227,987</w:t>
            </w:r>
            <w:r>
              <w:rPr>
                <w:rFonts w:ascii="Times New Roman" w:cs="Times New Roman" w:eastAsia="Times New Roman" w:hAnsi="Times New Roman"/>
                <w:sz w:val="22"/>
                <w:szCs w:val="22"/>
                <w:color w:val="008000"/>
                <w:vertAlign w:val="superscript"/>
              </w:rPr>
              <w:t>(1)</w:t>
            </w:r>
          </w:p>
        </w:tc>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18.95</w:t>
            </w:r>
            <w:r>
              <w:rPr>
                <w:rFonts w:ascii="Times New Roman" w:cs="Times New Roman" w:eastAsia="Times New Roman" w:hAnsi="Times New Roman"/>
                <w:sz w:val="22"/>
                <w:szCs w:val="22"/>
                <w:color w:val="008000"/>
                <w:vertAlign w:val="superscript"/>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34,743,361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1,151,445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220,000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34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1,142,473</w:t>
            </w:r>
            <w:r>
              <w:rPr>
                <w:rFonts w:ascii="Times New Roman" w:cs="Times New Roman" w:eastAsia="Times New Roman" w:hAnsi="Times New Roman"/>
                <w:sz w:val="22"/>
                <w:szCs w:val="22"/>
                <w:color w:val="008000"/>
                <w:w w:val="96"/>
                <w:vertAlign w:val="superscript"/>
              </w:rPr>
              <w:t>(5)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13"/>
        </w:trPr>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Emma</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Cloonen</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3"/>
        </w:trPr>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Ava</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Cloonen</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07"/>
        </w:trPr>
        <w:tc>
          <w:tcPr>
            <w:tcW w:w="23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Sold pursuant to a 10b5-1 trading plan adopted by the Reporting Person on November 21, 2025.</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ranges from $18.90 to $19.11 per share. The Reporting Person, upon request, will provide the Securities and Exchange Commission staff,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IIM Holdings II, LLC, which is an entity controlled by the Reporting Person.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shown reflects the amount owned by the Reporting Person's spouse after the sale of 22,548 shares of common stock on May 27, 2026, pursuant to a 10b5-1 trading plan, at prices ranging from $18.90 to $19.11 per share.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through Securus Risk Management LLC. The Reporting Person disclaims beneficial ownership of these</w:t>
      </w:r>
    </w:p>
    <w:p>
      <w:pPr>
        <w:sectPr>
          <w:pgSz w:w="11900" w:h="16907" w:orient="portrait"/>
          <w:cols w:equalWidth="0" w:num="1">
            <w:col w:w="11000"/>
          </w:cols>
          <w:pgMar w:left="460" w:top="219" w:right="439" w:bottom="0" w:gutter="0" w:footer="0" w:header="0"/>
          <w:type w:val="continuous"/>
        </w:sectPr>
      </w:pPr>
    </w:p>
    <w:bookmarkStart w:id="1" w:name="page2"/>
    <w:bookmarkEnd w:id="1"/>
    <w:p>
      <w:pPr>
        <w:ind w:right="160"/>
        <w:spacing w:after="0" w:line="272" w:lineRule="auto"/>
        <w:rPr>
          <w:sz w:val="20"/>
          <w:szCs w:val="20"/>
          <w:color w:val="auto"/>
        </w:rPr>
      </w:pPr>
      <w:r>
        <w:rPr>
          <w:rFonts w:ascii="Times New Roman" w:cs="Times New Roman" w:eastAsia="Times New Roman" w:hAnsi="Times New Roman"/>
          <w:sz w:val="13"/>
          <w:szCs w:val="13"/>
          <w:color w:val="008000"/>
        </w:rPr>
        <w:t>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8"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Emma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Ava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Andy Omiridis,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Bruce Lucas</w:t>
            </w:r>
          </w:p>
        </w:tc>
        <w:tc>
          <w:tcPr>
            <w:tcW w:w="3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6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2968" TargetMode="External"/><Relationship Id="rId14" Type="http://schemas.openxmlformats.org/officeDocument/2006/relationships/hyperlink" Target="http://www.sec.gov/cgi-bin/browse-edgar?action=getcompany&amp;CIK=0001886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2026-06-01T05:39:16Z</dcterms:created>
  <dcterms:modified xsi:type="dcterms:W3CDTF">2026-06-01T05:39:16Z</dcterms:modified>
</cp:coreProperties>
</file>