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04,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Slide Insurance Holdings,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960" w:type="dxa"/>
        <w:tblCellMar>
          <w:top w:w="0" w:type="dxa"/>
          <w:left w:w="0" w:type="dxa"/>
          <w:bottom w:w="0" w:type="dxa"/>
          <w:right w:w="0" w:type="dxa"/>
        </w:tblCellMar>
      </w:tblPr>
      <w:tr>
        <w:trPr>
          <w:trHeight w:val="222"/>
        </w:trPr>
        <w:tc>
          <w:tcPr>
            <w:tcW w:w="33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001-42707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87-1554861</w:t>
            </w:r>
          </w:p>
        </w:tc>
      </w:tr>
      <w:tr>
        <w:trPr>
          <w:trHeight w:val="149"/>
        </w:trPr>
        <w:tc>
          <w:tcPr>
            <w:tcW w:w="3300" w:type="dxa"/>
            <w:vAlign w:val="bottom"/>
          </w:tcPr>
          <w:p>
            <w:pPr>
              <w:jc w:val="center"/>
              <w:ind w:right="5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160" w:type="dxa"/>
            <w:vAlign w:val="bottom"/>
          </w:tcPr>
          <w:p>
            <w:pPr>
              <w:jc w:val="center"/>
              <w:ind w:right="3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300" w:type="dxa"/>
            <w:vAlign w:val="bottom"/>
          </w:tcPr>
          <w:p>
            <w:pPr>
              <w:jc w:val="center"/>
              <w:ind w:right="5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1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300" w:type="dxa"/>
            <w:vAlign w:val="bottom"/>
          </w:tcPr>
          <w:p>
            <w:pPr>
              <w:jc w:val="center"/>
              <w:ind w:right="521"/>
              <w:spacing w:after="0"/>
              <w:rPr>
                <w:sz w:val="20"/>
                <w:szCs w:val="20"/>
                <w:color w:val="auto"/>
              </w:rPr>
            </w:pPr>
            <w:r>
              <w:rPr>
                <w:rFonts w:ascii="Times New Roman" w:cs="Times New Roman" w:eastAsia="Times New Roman" w:hAnsi="Times New Roman"/>
                <w:sz w:val="18"/>
                <w:szCs w:val="18"/>
                <w:b w:val="1"/>
                <w:bCs w:val="1"/>
                <w:color w:val="auto"/>
              </w:rPr>
              <w:t>4221 W. Boy Scout Blvd., Suite 200</w:t>
            </w:r>
          </w:p>
        </w:tc>
        <w:tc>
          <w:tcPr>
            <w:tcW w:w="31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300" w:type="dxa"/>
            <w:vAlign w:val="bottom"/>
          </w:tcPr>
          <w:p>
            <w:pPr>
              <w:jc w:val="center"/>
              <w:ind w:right="501"/>
              <w:spacing w:after="0"/>
              <w:rPr>
                <w:sz w:val="20"/>
                <w:szCs w:val="20"/>
                <w:color w:val="auto"/>
              </w:rPr>
            </w:pPr>
            <w:r>
              <w:rPr>
                <w:rFonts w:ascii="Times New Roman" w:cs="Times New Roman" w:eastAsia="Times New Roman" w:hAnsi="Times New Roman"/>
                <w:sz w:val="18"/>
                <w:szCs w:val="18"/>
                <w:b w:val="1"/>
                <w:bCs w:val="1"/>
                <w:color w:val="auto"/>
                <w:w w:val="99"/>
              </w:rPr>
              <w:t>Tampa, Florida</w:t>
            </w:r>
          </w:p>
        </w:tc>
        <w:tc>
          <w:tcPr>
            <w:tcW w:w="31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33607</w:t>
            </w:r>
          </w:p>
        </w:tc>
      </w:tr>
      <w:tr>
        <w:trPr>
          <w:trHeight w:val="178"/>
        </w:trPr>
        <w:tc>
          <w:tcPr>
            <w:tcW w:w="3300" w:type="dxa"/>
            <w:vAlign w:val="bottom"/>
          </w:tcPr>
          <w:p>
            <w:pPr>
              <w:jc w:val="center"/>
              <w:ind w:right="5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1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813 748-2030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SLDE</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TAMPA, Fla., June 4, 2026 (GLOBE NEWSWIRE) -- Slide Insurance Holdings, Inc. (“Slide” or the “Company”) (Nasdaq: SLDE) today announced the completion of their 2026-2027 Catastrophe Excess of Loss Reinsurance Program.</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 am pleased to announce the completion of our 2026-2027 catastrophe reinsurance program,” said Bruce Lucas, Chairman and Chief Executive Officer of Slide. “This renewal represents one of the strongest towers in Slide’s history. We secured meaningful improvements in both rate and terms while significantly expanding our total capacity. The continued support from our reinsurance partners, combined with the positive effects of Florida’s 2022 legislative reforms, underscores the strength of our underwriting discipline and risk management strategy. This program further strengthens Slide’s financial resilience and positions us to confidently support our policyholders through Florida’s peak hurricane season.”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Highlights of the 2026-2027 Program:</w:t>
      </w:r>
    </w:p>
    <w:p>
      <w:pPr>
        <w:spacing w:after="0" w:line="117"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Record Capacity</w:t>
      </w:r>
      <w:r>
        <w:rPr>
          <w:rFonts w:ascii="Times New Roman" w:cs="Times New Roman" w:eastAsia="Times New Roman" w:hAnsi="Times New Roman"/>
          <w:sz w:val="18"/>
          <w:szCs w:val="18"/>
          <w:color w:val="auto"/>
        </w:rPr>
        <w:t>: Total aggregate reinsurance limit increased to</w:t>
      </w:r>
      <w:r>
        <w:rPr>
          <w:rFonts w:ascii="Times New Roman" w:cs="Times New Roman" w:eastAsia="Times New Roman" w:hAnsi="Times New Roman"/>
          <w:sz w:val="18"/>
          <w:szCs w:val="18"/>
          <w:b w:val="1"/>
          <w:bCs w:val="1"/>
          <w:color w:val="auto"/>
        </w:rPr>
        <w:t xml:space="preserve"> $5.463 billion </w:t>
      </w:r>
      <w:r>
        <w:rPr>
          <w:rFonts w:ascii="Times New Roman" w:cs="Times New Roman" w:eastAsia="Times New Roman" w:hAnsi="Times New Roman"/>
          <w:sz w:val="18"/>
          <w:szCs w:val="18"/>
          <w:color w:val="auto"/>
        </w:rPr>
        <w:t>from $3.304 billion last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First-Event Coverage: </w:t>
      </w:r>
      <w:r>
        <w:rPr>
          <w:rFonts w:ascii="Times New Roman" w:cs="Times New Roman" w:eastAsia="Times New Roman" w:hAnsi="Times New Roman"/>
          <w:sz w:val="18"/>
          <w:szCs w:val="18"/>
          <w:color w:val="auto"/>
        </w:rPr>
        <w:t>Expanded to</w:t>
      </w:r>
      <w:r>
        <w:rPr>
          <w:rFonts w:ascii="Times New Roman" w:cs="Times New Roman" w:eastAsia="Times New Roman" w:hAnsi="Times New Roman"/>
          <w:sz w:val="18"/>
          <w:szCs w:val="18"/>
          <w:b w:val="1"/>
          <w:bCs w:val="1"/>
          <w:color w:val="auto"/>
        </w:rPr>
        <w:t xml:space="preserve"> $3.981 billion</w:t>
      </w:r>
      <w:r>
        <w:rPr>
          <w:rFonts w:ascii="Times New Roman" w:cs="Times New Roman" w:eastAsia="Times New Roman" w:hAnsi="Times New Roman"/>
          <w:sz w:val="18"/>
          <w:szCs w:val="18"/>
          <w:color w:val="auto"/>
        </w:rPr>
        <w:t>, up $1.424 billion from $2.557 billion in 2025-2026.</w:t>
      </w:r>
    </w:p>
    <w:p>
      <w:pPr>
        <w:spacing w:after="0" w:line="117" w:lineRule="exact"/>
        <w:rPr>
          <w:rFonts w:ascii="Times New Roman" w:cs="Times New Roman" w:eastAsia="Times New Roman" w:hAnsi="Times New Roman"/>
          <w:sz w:val="18"/>
          <w:szCs w:val="18"/>
          <w:color w:val="auto"/>
        </w:rPr>
      </w:pPr>
    </w:p>
    <w:p>
      <w:pPr>
        <w:jc w:val="both"/>
        <w:ind w:left="1020" w:right="160" w:hanging="503"/>
        <w:spacing w:after="0" w:line="268"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Retention Discipline: </w:t>
      </w:r>
      <w:r>
        <w:rPr>
          <w:rFonts w:ascii="Times New Roman" w:cs="Times New Roman" w:eastAsia="Times New Roman" w:hAnsi="Times New Roman"/>
          <w:sz w:val="18"/>
          <w:szCs w:val="18"/>
          <w:color w:val="auto"/>
        </w:rPr>
        <w:t>First-event retention remains conservatively positioned at</w:t>
      </w:r>
      <w:r>
        <w:rPr>
          <w:rFonts w:ascii="Times New Roman" w:cs="Times New Roman" w:eastAsia="Times New Roman" w:hAnsi="Times New Roman"/>
          <w:sz w:val="18"/>
          <w:szCs w:val="18"/>
          <w:b w:val="1"/>
          <w:bCs w:val="1"/>
          <w:color w:val="auto"/>
        </w:rPr>
        <w:t xml:space="preserve"> no more than 25% of estimated pre-tax earnings</w:t>
      </w:r>
      <w:r>
        <w:rPr>
          <w:rFonts w:ascii="Times New Roman" w:cs="Times New Roman" w:eastAsia="Times New Roman" w:hAnsi="Times New Roman"/>
          <w:sz w:val="18"/>
          <w:szCs w:val="18"/>
          <w:color w:val="auto"/>
        </w:rPr>
        <w: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retentions of $166.8 million on a first-event basis (1-in-100 year PML) and $150.0 million on a second-event basis (1-in-50 year PML).</w:t>
      </w:r>
    </w:p>
    <w:p>
      <w:pPr>
        <w:spacing w:after="0" w:line="62" w:lineRule="exact"/>
        <w:rPr>
          <w:rFonts w:ascii="Times New Roman" w:cs="Times New Roman" w:eastAsia="Times New Roman" w:hAnsi="Times New Roman"/>
          <w:sz w:val="18"/>
          <w:szCs w:val="18"/>
          <w:color w:val="auto"/>
        </w:rPr>
      </w:pPr>
    </w:p>
    <w:p>
      <w:pPr>
        <w:ind w:left="1020" w:right="120" w:hanging="503"/>
        <w:spacing w:after="0" w:line="28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Capital Diversification: </w:t>
      </w:r>
      <w:r>
        <w:rPr>
          <w:rFonts w:ascii="Times New Roman" w:cs="Times New Roman" w:eastAsia="Times New Roman" w:hAnsi="Times New Roman"/>
          <w:sz w:val="18"/>
          <w:szCs w:val="18"/>
          <w:color w:val="auto"/>
        </w:rPr>
        <w:t>Added 12 new markets and increased the Purple Re catastrophe bond limit to</w:t>
      </w:r>
      <w:r>
        <w:rPr>
          <w:rFonts w:ascii="Times New Roman" w:cs="Times New Roman" w:eastAsia="Times New Roman" w:hAnsi="Times New Roman"/>
          <w:sz w:val="18"/>
          <w:szCs w:val="18"/>
          <w:b w:val="1"/>
          <w:bCs w:val="1"/>
          <w:color w:val="auto"/>
        </w:rPr>
        <w:t xml:space="preserve"> $780 million </w:t>
      </w:r>
      <w:r>
        <w:rPr>
          <w:rFonts w:ascii="Times New Roman" w:cs="Times New Roman" w:eastAsia="Times New Roman" w:hAnsi="Times New Roman"/>
          <w:sz w:val="18"/>
          <w:szCs w:val="18"/>
          <w:color w:val="auto"/>
        </w:rPr>
        <w:t>of multi-year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 from $660 million).</w:t>
      </w:r>
    </w:p>
    <w:p>
      <w:pPr>
        <w:spacing w:after="0" w:line="46" w:lineRule="exact"/>
        <w:rPr>
          <w:rFonts w:ascii="Times New Roman" w:cs="Times New Roman" w:eastAsia="Times New Roman" w:hAnsi="Times New Roman"/>
          <w:sz w:val="18"/>
          <w:szCs w:val="18"/>
          <w:color w:val="auto"/>
        </w:rPr>
      </w:pPr>
    </w:p>
    <w:p>
      <w:pPr>
        <w:ind w:left="1020" w:right="380" w:hanging="503"/>
        <w:spacing w:after="0" w:line="28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Credit Quality: </w:t>
      </w:r>
      <w:r>
        <w:rPr>
          <w:rFonts w:ascii="Times New Roman" w:cs="Times New Roman" w:eastAsia="Times New Roman" w:hAnsi="Times New Roman"/>
          <w:sz w:val="18"/>
          <w:szCs w:val="18"/>
          <w:color w:val="auto"/>
        </w:rPr>
        <w:t>All reinsurers are rated AM Best ‘A-’ or better, or fully collateralized. Slide Re, the Company’s reinsurance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continues to participate selectively.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Slide Insurance Holdings,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June 4,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Anastasios Omiridis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Anastasios Omiridis</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2026-06-04T07:56:08Z</dcterms:created>
  <dcterms:modified xsi:type="dcterms:W3CDTF">2026-06-04T07:56:08Z</dcterms:modified>
</cp:coreProperties>
</file>