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6"/>
        <w:gridCol w:w="919"/>
        <w:gridCol w:w="790"/>
        <w:gridCol w:w="610"/>
        <w:gridCol w:w="339"/>
        <w:gridCol w:w="905"/>
        <w:gridCol w:w="416"/>
        <w:gridCol w:w="745"/>
        <w:gridCol w:w="1344"/>
        <w:gridCol w:w="960"/>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2,229,962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2,220,943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34,506,199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IIM Holdings II, LLC</w:t>
            </w:r>
            <w:r>
              <w:rPr>
                <w:rFonts w:ascii="Times;serif" w:hAnsi="Times;serif"/>
                <w:color w:val="008000"/>
                <w:position w:val="7"/>
                <w:sz w:val="16"/>
                <w:sz w:val="20"/>
                <w:shd w:fill="FFFFFF" w:val="clear"/>
              </w:rPr>
              <w:t>(1)</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289,498</w:t>
            </w:r>
            <w:r>
              <w:rPr>
                <w:rFonts w:ascii="Times;serif" w:hAnsi="Times;serif"/>
                <w:color w:val="008000"/>
                <w:position w:val="7"/>
                <w:sz w:val="16"/>
                <w:sz w:val="20"/>
                <w:shd w:fill="FFFFFF" w:val="clear"/>
              </w:rPr>
              <w:t>(2)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1,118,756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p>
        </w:tc>
      </w:tr>
      <w:tr>
        <w:trPr/>
        <w:tc>
          <w:tcPr>
            <w:tcW w:w="19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Emma Cloonen Irrevocable Trust</w:t>
            </w:r>
            <w:r>
              <w:rPr>
                <w:rFonts w:ascii="Times;serif" w:hAnsi="Times;serif"/>
                <w:color w:val="008000"/>
                <w:position w:val="7"/>
                <w:sz w:val="16"/>
                <w:sz w:val="20"/>
                <w:shd w:fill="FFFFFF" w:val="clear"/>
              </w:rPr>
              <w:t>(5)</w:t>
            </w:r>
          </w:p>
        </w:tc>
      </w:tr>
      <w:tr>
        <w:trPr/>
        <w:tc>
          <w:tcPr>
            <w:tcW w:w="19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Ava Cloonen Irrevocable Trust</w:t>
            </w:r>
            <w:r>
              <w:rPr>
                <w:rFonts w:ascii="Times;serif" w:hAnsi="Times;serif"/>
                <w:color w:val="008000"/>
                <w:position w:val="7"/>
                <w:sz w:val="16"/>
                <w:sz w:val="20"/>
                <w:shd w:fill="FFFFFF" w:val="clear"/>
              </w:rPr>
              <w:t>(6)</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70,714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by IIM Holdings II, LLC, which is an entity controlled by the Reporting Person.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shown reflects the amount owned by the Reporting Person's spouse after the vesting of 22,919 restricted stock units on September 30, 2026 and the withholding of 9,019 shares of common stock for the payment of the tax liability associated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 shares of common stock beneficially owned by the Reporting Person's spouse.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shares of common stock beneficially owned by the Reporting Person's spouse through Securus Risk Management LLC.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 shares held through the Emma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 shares held through the Ava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vest in 24 equal monthly installments commencing on January 1, 2025 and ending on December 31, 2026, subject to the Reporting Person's continued employment or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Omiridis, Attorney-in-Fact for Bruce Lucas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968"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1104</Words>
  <Characters>5878</Characters>
  <CharactersWithSpaces>6849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