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214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21462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Omiridis Anastasios</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SLIDE INSURANCE HOLDINGS,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4221 W. BOY SCOUT BLVD., SUITE 200</w:t>
      </w:r>
    </w:p>
    <w:p>
      <w:pPr>
        <w:spacing w:after="0" w:line="2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TAMPA</w:t>
      </w:r>
      <w:r>
        <w:rPr>
          <w:sz w:val="20"/>
          <w:szCs w:val="20"/>
          <w:color w:val="auto"/>
        </w:rPr>
        <w:tab/>
      </w:r>
      <w:r>
        <w:rPr>
          <w:rFonts w:ascii="Times New Roman" w:cs="Times New Roman" w:eastAsia="Times New Roman" w:hAnsi="Times New Roman"/>
          <w:sz w:val="16"/>
          <w:szCs w:val="16"/>
          <w:color w:val="0000FF"/>
        </w:rPr>
        <w:t>FL</w:t>
      </w:r>
      <w:r>
        <w:rPr>
          <w:sz w:val="20"/>
          <w:szCs w:val="20"/>
          <w:color w:val="auto"/>
        </w:rPr>
        <w:tab/>
      </w:r>
      <w:r>
        <w:rPr>
          <w:rFonts w:ascii="Times New Roman" w:cs="Times New Roman" w:eastAsia="Times New Roman" w:hAnsi="Times New Roman"/>
          <w:sz w:val="16"/>
          <w:szCs w:val="16"/>
          <w:color w:val="0000FF"/>
        </w:rPr>
        <w:t>33607</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3840" w:type="dxa"/>
            <w:vAlign w:val="bottom"/>
            <w:gridSpan w:val="4"/>
          </w:tcPr>
          <w:p>
            <w:pPr>
              <w:ind w:left="80"/>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Slide Insurance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SLDE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0" w:type="dxa"/>
            <w:vAlign w:val="bottom"/>
          </w:tcPr>
          <w:p>
            <w:pPr>
              <w:spacing w:after="0"/>
              <w:rPr>
                <w:sz w:val="1"/>
                <w:szCs w:val="1"/>
                <w:color w:val="auto"/>
              </w:rPr>
            </w:pPr>
          </w:p>
        </w:tc>
      </w:tr>
      <w:tr>
        <w:trPr>
          <w:trHeight w:val="215"/>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02/25/2026</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3" w:lineRule="exact"/>
        <w:rPr>
          <w:sz w:val="24"/>
          <w:szCs w:val="24"/>
          <w:color w:val="auto"/>
        </w:rPr>
      </w:pPr>
    </w:p>
    <w:p>
      <w:pPr>
        <w:sectPr>
          <w:pgSz w:w="11900" w:h="16838" w:orient="portrait"/>
          <w:cols w:equalWidth="0" w:num="2">
            <w:col w:w="3180" w:space="66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52"/>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jc w:val="center"/>
              <w:ind w:right="56"/>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72"/>
              <w:spacing w:after="0"/>
              <w:rPr>
                <w:sz w:val="20"/>
                <w:szCs w:val="20"/>
                <w:color w:val="auto"/>
              </w:rPr>
            </w:pPr>
            <w:r>
              <w:rPr>
                <w:rFonts w:ascii="Times New Roman" w:cs="Times New Roman" w:eastAsia="Times New Roman" w:hAnsi="Times New Roman"/>
                <w:sz w:val="16"/>
                <w:szCs w:val="16"/>
                <w:color w:val="0000FF"/>
              </w:rPr>
              <w:t>04/30/2026</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76"/>
              <w:spacing w:after="0"/>
              <w:rPr>
                <w:sz w:val="20"/>
                <w:szCs w:val="20"/>
                <w:color w:val="auto"/>
              </w:rPr>
            </w:pPr>
            <w:r>
              <w:rPr>
                <w:rFonts w:ascii="Times New Roman" w:cs="Times New Roman" w:eastAsia="Times New Roman" w:hAnsi="Times New Roman"/>
                <w:sz w:val="16"/>
                <w:szCs w:val="16"/>
                <w:color w:val="0000FF"/>
              </w:rPr>
              <w:t>15,384</w:t>
            </w:r>
          </w:p>
        </w:tc>
        <w:tc>
          <w:tcPr>
            <w:tcW w:w="64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15,384</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72"/>
              <w:spacing w:after="0"/>
              <w:rPr>
                <w:sz w:val="20"/>
                <w:szCs w:val="20"/>
                <w:color w:val="auto"/>
              </w:rPr>
            </w:pPr>
            <w:r>
              <w:rPr>
                <w:rFonts w:ascii="Times New Roman" w:cs="Times New Roman" w:eastAsia="Times New Roman" w:hAnsi="Times New Roman"/>
                <w:sz w:val="16"/>
                <w:szCs w:val="16"/>
                <w:color w:val="0000FF"/>
              </w:rPr>
              <w:t>04/30/2026</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76"/>
              <w:spacing w:after="0"/>
              <w:rPr>
                <w:sz w:val="20"/>
                <w:szCs w:val="20"/>
                <w:color w:val="auto"/>
              </w:rPr>
            </w:pPr>
            <w:r>
              <w:rPr>
                <w:rFonts w:ascii="Times New Roman" w:cs="Times New Roman" w:eastAsia="Times New Roman" w:hAnsi="Times New Roman"/>
                <w:sz w:val="16"/>
                <w:szCs w:val="16"/>
                <w:color w:val="0000FF"/>
                <w:w w:val="95"/>
              </w:rPr>
              <w:t>6,054</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18.65</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9,330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72"/>
              <w:spacing w:after="0"/>
              <w:rPr>
                <w:sz w:val="20"/>
                <w:szCs w:val="20"/>
                <w:color w:val="auto"/>
              </w:rPr>
            </w:pPr>
            <w:r>
              <w:rPr>
                <w:rFonts w:ascii="Times New Roman" w:cs="Times New Roman" w:eastAsia="Times New Roman" w:hAnsi="Times New Roman"/>
                <w:sz w:val="16"/>
                <w:szCs w:val="16"/>
                <w:color w:val="0000FF"/>
              </w:rPr>
              <w:t>05/04/2026</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ind w:left="76"/>
              <w:spacing w:after="0"/>
              <w:rPr>
                <w:sz w:val="20"/>
                <w:szCs w:val="20"/>
                <w:color w:val="auto"/>
              </w:rPr>
            </w:pPr>
            <w:r>
              <w:rPr>
                <w:rFonts w:ascii="Times New Roman" w:cs="Times New Roman" w:eastAsia="Times New Roman" w:hAnsi="Times New Roman"/>
                <w:sz w:val="16"/>
                <w:szCs w:val="16"/>
                <w:color w:val="0000FF"/>
              </w:rPr>
              <w:t>9,000</w:t>
            </w:r>
          </w:p>
        </w:tc>
        <w:tc>
          <w:tcPr>
            <w:tcW w:w="64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18.55</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330</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8"/>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02/25/2026</w:t>
            </w:r>
          </w:p>
        </w:tc>
        <w:tc>
          <w:tcPr>
            <w:tcW w:w="1080" w:type="dxa"/>
            <w:vAlign w:val="bottom"/>
          </w:tcPr>
          <w:p>
            <w:pPr>
              <w:spacing w:after="0"/>
              <w:rPr>
                <w:sz w:val="19"/>
                <w:szCs w:val="19"/>
                <w:color w:val="auto"/>
              </w:rPr>
            </w:pPr>
          </w:p>
        </w:tc>
        <w:tc>
          <w:tcPr>
            <w:tcW w:w="74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15,384</w:t>
            </w:r>
          </w:p>
        </w:tc>
        <w:tc>
          <w:tcPr>
            <w:tcW w:w="520" w:type="dxa"/>
            <w:vAlign w:val="bottom"/>
          </w:tcPr>
          <w:p>
            <w:pPr>
              <w:spacing w:after="0"/>
              <w:rPr>
                <w:sz w:val="19"/>
                <w:szCs w:val="19"/>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15,384</w:t>
            </w:r>
          </w:p>
        </w:tc>
        <w:tc>
          <w:tcPr>
            <w:tcW w:w="4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23"/>
              <w:spacing w:after="0"/>
              <w:rPr>
                <w:sz w:val="20"/>
                <w:szCs w:val="20"/>
                <w:color w:val="auto"/>
              </w:rPr>
            </w:pPr>
            <w:r>
              <w:rPr>
                <w:rFonts w:ascii="Times New Roman" w:cs="Times New Roman" w:eastAsia="Times New Roman" w:hAnsi="Times New Roman"/>
                <w:sz w:val="13"/>
                <w:szCs w:val="13"/>
                <w:color w:val="0000FF"/>
              </w:rPr>
              <w:t>15,384</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04/30/2026</w:t>
            </w:r>
          </w:p>
        </w:tc>
        <w:tc>
          <w:tcPr>
            <w:tcW w:w="1080" w:type="dxa"/>
            <w:vAlign w:val="bottom"/>
          </w:tcPr>
          <w:p>
            <w:pPr>
              <w:spacing w:after="0"/>
              <w:rPr>
                <w:sz w:val="19"/>
                <w:szCs w:val="19"/>
                <w:color w:val="auto"/>
              </w:rPr>
            </w:pPr>
          </w:p>
        </w:tc>
        <w:tc>
          <w:tcPr>
            <w:tcW w:w="74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9"/>
                <w:szCs w:val="19"/>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15,384</w:t>
            </w:r>
          </w:p>
        </w:tc>
        <w:tc>
          <w:tcPr>
            <w:tcW w:w="7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15,384</w:t>
            </w:r>
          </w:p>
        </w:tc>
        <w:tc>
          <w:tcPr>
            <w:tcW w:w="4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9"/>
                <w:szCs w:val="19"/>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-1986280</wp:posOffset>
            </wp:positionV>
            <wp:extent cx="28575" cy="1991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136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for payment of tax liability.</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0" w:lineRule="exact"/>
        <w:rPr>
          <w:rFonts w:ascii="Times New Roman" w:cs="Times New Roman" w:eastAsia="Times New Roman" w:hAnsi="Times New Roman"/>
          <w:sz w:val="13"/>
          <w:szCs w:val="13"/>
          <w:color w:val="008000"/>
        </w:rPr>
      </w:pPr>
    </w:p>
    <w:p>
      <w:pPr>
        <w:ind w:left="40" w:right="24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25, 2026, the Reporting Person was granted 15,384 restricted stock units which vested on April 30, 2026. Due to an administrative error, the grant of the restricted stock units were not reported on a Form 4 within two business days of the transaction.</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Anastasios Omiridis</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05/04/2026</w:t>
            </w: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9494" TargetMode="External"/><Relationship Id="rId14" Type="http://schemas.openxmlformats.org/officeDocument/2006/relationships/hyperlink" Target="http://www.sec.gov/cgi-bin/browse-edgar?action=getcompany&amp;CIK=0001886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2026-05-04T19:35:12Z</dcterms:created>
  <dcterms:modified xsi:type="dcterms:W3CDTF">2026-05-04T19:35:12Z</dcterms:modified>
</cp:coreProperties>
</file>