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285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285355"/>
                    </a:xfrm>
                    <a:prstGeom prst="rect">
                      <a:avLst/>
                    </a:prstGeom>
                    <a:noFill/>
                  </pic:spPr>
                </pic:pic>
              </a:graphicData>
            </a:graphic>
          </wp:anchor>
        </w:drawing>
      </w:r>
    </w:p>
    <w:p>
      <w:pPr>
        <w:spacing w:after="0" w:line="1285" w:lineRule="exact"/>
        <w:rPr>
          <w:sz w:val="24"/>
          <w:szCs w:val="24"/>
          <w:color w:val="auto"/>
        </w:rPr>
      </w:pPr>
    </w:p>
    <w:p>
      <w:pPr>
        <w:sectPr>
          <w:pgSz w:w="11900" w:h="16907"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Lucas Bruce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20"/>
        <w:spacing w:after="0" w:line="365" w:lineRule="auto"/>
        <w:rPr>
          <w:sz w:val="20"/>
          <w:szCs w:val="20"/>
          <w:color w:val="auto"/>
        </w:rPr>
      </w:pPr>
      <w:r>
        <w:rPr>
          <w:rFonts w:ascii="Times New Roman" w:cs="Times New Roman" w:eastAsia="Times New Roman" w:hAnsi="Times New Roman"/>
          <w:sz w:val="17"/>
          <w:szCs w:val="17"/>
          <w:color w:val="0000FF"/>
        </w:rPr>
        <w:t>C/O SLIDE INSURANCE HOLDINGS, INC. 4221 W. BOY SCOUT BLVD., SUITE 200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TAMPA</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33607</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Slide Insurance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SLDE</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460" w:type="dxa"/>
            <w:vAlign w:val="bottom"/>
            <w:tcBorders>
              <w:bottom w:val="single" w:sz="8" w:color="0000EE"/>
            </w:tcBorders>
          </w:tcPr>
          <w:p>
            <w:pPr>
              <w:spacing w:after="0"/>
              <w:rPr>
                <w:sz w:val="3"/>
                <w:szCs w:val="3"/>
                <w:color w:val="auto"/>
              </w:rPr>
            </w:pPr>
          </w:p>
        </w:tc>
        <w:tc>
          <w:tcPr>
            <w:tcW w:w="1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460" w:type="dxa"/>
            <w:vAlign w:val="bottom"/>
            <w:tcBorders>
              <w:bottom w:val="single" w:sz="8" w:color="2C2C2C"/>
            </w:tcBorders>
          </w:tcPr>
          <w:p>
            <w:pPr>
              <w:spacing w:after="0"/>
              <w:rPr>
                <w:sz w:val="16"/>
                <w:szCs w:val="16"/>
                <w:color w:val="auto"/>
              </w:rPr>
            </w:pPr>
          </w:p>
        </w:tc>
        <w:tc>
          <w:tcPr>
            <w:tcW w:w="116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6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05/20/2026</w:t>
            </w: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34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907" w:orient="portrait"/>
          <w:cols w:equalWidth="0" w:num="2">
            <w:col w:w="3760" w:space="80"/>
            <w:col w:w="716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3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40" w:type="dxa"/>
            <w:vAlign w:val="bottom"/>
          </w:tcPr>
          <w:p>
            <w:pPr>
              <w:spacing w:after="0"/>
              <w:rPr>
                <w:sz w:val="11"/>
                <w:szCs w:val="11"/>
                <w:color w:val="auto"/>
              </w:rPr>
            </w:pPr>
          </w:p>
        </w:tc>
        <w:tc>
          <w:tcPr>
            <w:tcW w:w="16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40" w:type="dxa"/>
            <w:vAlign w:val="bottom"/>
          </w:tcPr>
          <w:p>
            <w:pPr>
              <w:spacing w:after="0"/>
              <w:rPr>
                <w:sz w:val="11"/>
                <w:szCs w:val="11"/>
                <w:color w:val="auto"/>
              </w:rPr>
            </w:pPr>
          </w:p>
        </w:tc>
        <w:tc>
          <w:tcPr>
            <w:tcW w:w="16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Indirect (I)</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3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3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760" w:type="dxa"/>
            <w:vAlign w:val="bottom"/>
            <w:tcBorders>
              <w:top w:val="single" w:sz="8" w:color="2C2C2C"/>
            </w:tcBorders>
          </w:tcPr>
          <w:p>
            <w:pPr>
              <w:spacing w:after="0"/>
              <w:rPr>
                <w:sz w:val="7"/>
                <w:szCs w:val="7"/>
                <w:color w:val="auto"/>
              </w:rPr>
            </w:pPr>
          </w:p>
        </w:tc>
        <w:tc>
          <w:tcPr>
            <w:tcW w:w="108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4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3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40" w:type="dxa"/>
            <w:vAlign w:val="bottom"/>
            <w:tcBorders>
              <w:bottom w:val="single" w:sz="8" w:color="2C2C2C"/>
            </w:tcBorders>
          </w:tcPr>
          <w:p>
            <w:pPr>
              <w:spacing w:after="0"/>
              <w:rPr>
                <w:sz w:val="15"/>
                <w:szCs w:val="15"/>
                <w:color w:val="auto"/>
              </w:rPr>
            </w:pPr>
          </w:p>
        </w:tc>
        <w:tc>
          <w:tcPr>
            <w:tcW w:w="16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760" w:type="dxa"/>
            <w:vAlign w:val="bottom"/>
            <w:tcBorders>
              <w:bottom w:val="single" w:sz="8" w:color="2C2C2C"/>
            </w:tcBorders>
          </w:tcPr>
          <w:p>
            <w:pPr>
              <w:spacing w:after="0"/>
              <w:rPr>
                <w:sz w:val="15"/>
                <w:szCs w:val="15"/>
                <w:color w:val="auto"/>
              </w:rPr>
            </w:pPr>
          </w:p>
        </w:tc>
        <w:tc>
          <w:tcPr>
            <w:tcW w:w="108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Borders>
              <w:bottom w:val="single" w:sz="8" w:color="2C2C2C"/>
            </w:tcBorders>
          </w:tcPr>
          <w:p>
            <w:pPr>
              <w:spacing w:after="0"/>
              <w:rPr>
                <w:sz w:val="15"/>
                <w:szCs w:val="15"/>
                <w:color w:val="auto"/>
              </w:rPr>
            </w:pPr>
          </w:p>
        </w:tc>
        <w:tc>
          <w:tcPr>
            <w:tcW w:w="9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3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IIM</w:t>
            </w:r>
          </w:p>
        </w:tc>
        <w:tc>
          <w:tcPr>
            <w:tcW w:w="0" w:type="dxa"/>
            <w:vAlign w:val="bottom"/>
          </w:tcPr>
          <w:p>
            <w:pPr>
              <w:spacing w:after="0"/>
              <w:rPr>
                <w:sz w:val="1"/>
                <w:szCs w:val="1"/>
                <w:color w:val="auto"/>
              </w:rPr>
            </w:pPr>
          </w:p>
        </w:tc>
      </w:tr>
      <w:tr>
        <w:trPr>
          <w:trHeight w:val="213"/>
        </w:trPr>
        <w:tc>
          <w:tcPr>
            <w:tcW w:w="2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0000FF"/>
              </w:rPr>
              <w:t>05/20/2026</w:t>
            </w:r>
          </w:p>
        </w:tc>
        <w:tc>
          <w:tcPr>
            <w:tcW w:w="112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Pr>
          <w:p>
            <w:pPr>
              <w:ind w:left="80"/>
              <w:spacing w:after="0" w:line="213" w:lineRule="exact"/>
              <w:rPr>
                <w:sz w:val="20"/>
                <w:szCs w:val="20"/>
                <w:color w:val="auto"/>
              </w:rPr>
            </w:pPr>
            <w:r>
              <w:rPr>
                <w:rFonts w:ascii="Times New Roman" w:cs="Times New Roman" w:eastAsia="Times New Roman" w:hAnsi="Times New Roman"/>
                <w:sz w:val="17"/>
                <w:szCs w:val="17"/>
                <w:color w:val="0000FF"/>
              </w:rPr>
              <w:t>184,817</w:t>
            </w:r>
            <w:r>
              <w:rPr>
                <w:rFonts w:ascii="Times New Roman" w:cs="Times New Roman" w:eastAsia="Times New Roman" w:hAnsi="Times New Roman"/>
                <w:sz w:val="22"/>
                <w:szCs w:val="22"/>
                <w:color w:val="008000"/>
                <w:vertAlign w:val="superscript"/>
              </w:rPr>
              <w:t>(1)</w:t>
            </w:r>
          </w:p>
        </w:tc>
        <w:tc>
          <w:tcPr>
            <w:tcW w:w="4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18.78</w:t>
            </w:r>
            <w:r>
              <w:rPr>
                <w:rFonts w:ascii="Times New Roman" w:cs="Times New Roman" w:eastAsia="Times New Roman" w:hAnsi="Times New Roman"/>
                <w:sz w:val="22"/>
                <w:szCs w:val="22"/>
                <w:color w:val="008000"/>
                <w:vertAlign w:val="superscript"/>
              </w:rPr>
              <w:t>(2)</w:t>
            </w: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34,971,348</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288"/>
        </w:trPr>
        <w:tc>
          <w:tcPr>
            <w:tcW w:w="23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II, 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65"/>
        </w:trPr>
        <w:tc>
          <w:tcPr>
            <w:tcW w:w="2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1,151,445</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34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220,000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34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68"/>
        </w:trPr>
        <w:tc>
          <w:tcPr>
            <w:tcW w:w="2340" w:type="dxa"/>
            <w:vAlign w:val="bottom"/>
            <w:tcBorders>
              <w:bottom w:val="single" w:sz="8" w:color="2C2C2C"/>
            </w:tcBorders>
          </w:tcPr>
          <w:p>
            <w:pPr>
              <w:spacing w:after="0"/>
              <w:rPr>
                <w:sz w:val="14"/>
                <w:szCs w:val="14"/>
                <w:color w:val="auto"/>
              </w:rPr>
            </w:pPr>
          </w:p>
        </w:tc>
        <w:tc>
          <w:tcPr>
            <w:tcW w:w="164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1,165,021</w:t>
            </w:r>
            <w:r>
              <w:rPr>
                <w:rFonts w:ascii="Times New Roman" w:cs="Times New Roman" w:eastAsia="Times New Roman" w:hAnsi="Times New Roman"/>
                <w:sz w:val="22"/>
                <w:szCs w:val="22"/>
                <w:color w:val="008000"/>
                <w:w w:val="96"/>
                <w:vertAlign w:val="superscript"/>
              </w:rPr>
              <w:t>(5)</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340" w:type="dxa"/>
            <w:vAlign w:val="bottom"/>
            <w:vMerge w:val="continue"/>
          </w:tcPr>
          <w:p>
            <w:pPr>
              <w:spacing w:after="0"/>
              <w:rPr>
                <w:sz w:val="15"/>
                <w:szCs w:val="15"/>
                <w:color w:val="auto"/>
              </w:rPr>
            </w:pPr>
          </w:p>
        </w:tc>
        <w:tc>
          <w:tcPr>
            <w:tcW w:w="16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13"/>
        </w:trPr>
        <w:tc>
          <w:tcPr>
            <w:tcW w:w="2340" w:type="dxa"/>
            <w:vAlign w:val="bottom"/>
            <w:tcBorders>
              <w:bottom w:val="single" w:sz="8" w:color="2C2C2C"/>
            </w:tcBorders>
          </w:tcPr>
          <w:p>
            <w:pPr>
              <w:spacing w:after="0"/>
              <w:rPr>
                <w:sz w:val="9"/>
                <w:szCs w:val="9"/>
                <w:color w:val="auto"/>
              </w:rPr>
            </w:pPr>
          </w:p>
        </w:tc>
        <w:tc>
          <w:tcPr>
            <w:tcW w:w="16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3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Emma</w:t>
            </w:r>
          </w:p>
        </w:tc>
        <w:tc>
          <w:tcPr>
            <w:tcW w:w="0" w:type="dxa"/>
            <w:vAlign w:val="bottom"/>
          </w:tcPr>
          <w:p>
            <w:pPr>
              <w:spacing w:after="0"/>
              <w:rPr>
                <w:sz w:val="1"/>
                <w:szCs w:val="1"/>
                <w:color w:val="auto"/>
              </w:rPr>
            </w:pPr>
          </w:p>
        </w:tc>
      </w:tr>
      <w:tr>
        <w:trPr>
          <w:trHeight w:val="213"/>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1,925,000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Cloonen</w:t>
            </w:r>
          </w:p>
        </w:tc>
        <w:tc>
          <w:tcPr>
            <w:tcW w:w="0" w:type="dxa"/>
            <w:vAlign w:val="bottom"/>
          </w:tcPr>
          <w:p>
            <w:pPr>
              <w:spacing w:after="0"/>
              <w:rPr>
                <w:sz w:val="1"/>
                <w:szCs w:val="1"/>
                <w:color w:val="auto"/>
              </w:rPr>
            </w:pPr>
          </w:p>
        </w:tc>
      </w:tr>
      <w:tr>
        <w:trPr>
          <w:trHeight w:val="120"/>
        </w:trPr>
        <w:tc>
          <w:tcPr>
            <w:tcW w:w="234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93"/>
        </w:trPr>
        <w:tc>
          <w:tcPr>
            <w:tcW w:w="23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3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252"/>
        </w:trPr>
        <w:tc>
          <w:tcPr>
            <w:tcW w:w="23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Ava</w:t>
            </w:r>
          </w:p>
        </w:tc>
        <w:tc>
          <w:tcPr>
            <w:tcW w:w="0" w:type="dxa"/>
            <w:vAlign w:val="bottom"/>
          </w:tcPr>
          <w:p>
            <w:pPr>
              <w:spacing w:after="0"/>
              <w:rPr>
                <w:sz w:val="1"/>
                <w:szCs w:val="1"/>
                <w:color w:val="auto"/>
              </w:rPr>
            </w:pPr>
          </w:p>
        </w:tc>
      </w:tr>
      <w:tr>
        <w:trPr>
          <w:trHeight w:val="213"/>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1,925,000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Cloonen</w:t>
            </w:r>
          </w:p>
        </w:tc>
        <w:tc>
          <w:tcPr>
            <w:tcW w:w="0" w:type="dxa"/>
            <w:vAlign w:val="bottom"/>
          </w:tcPr>
          <w:p>
            <w:pPr>
              <w:spacing w:after="0"/>
              <w:rPr>
                <w:sz w:val="1"/>
                <w:szCs w:val="1"/>
                <w:color w:val="auto"/>
              </w:rPr>
            </w:pPr>
          </w:p>
        </w:tc>
      </w:tr>
      <w:tr>
        <w:trPr>
          <w:trHeight w:val="120"/>
        </w:trPr>
        <w:tc>
          <w:tcPr>
            <w:tcW w:w="234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107"/>
        </w:trPr>
        <w:tc>
          <w:tcPr>
            <w:tcW w:w="23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10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(8)</w:t>
      </w:r>
    </w:p>
    <w:p>
      <w:pPr>
        <w:spacing w:after="0" w:line="107"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Sold pursuant to a 10b5-1 trading plan adopted by the Reporting Person on November 21, 2025.</w:t>
      </w:r>
    </w:p>
    <w:p>
      <w:pPr>
        <w:spacing w:after="0" w:line="50"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price of the shares sold. The prices of the shares sold pursuant to the transactions ranges from $18.75 to $18.84 per share. The Reporting Person, upon request, will provide the Securities and Exchange Commission staff, the issuer or a security holder of the issuer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by IIM Holdings II, LLC, which is an entity controlled by the Reporting Person.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20" w:lineRule="exact"/>
        <w:rPr>
          <w:rFonts w:ascii="Times New Roman" w:cs="Times New Roman" w:eastAsia="Times New Roman" w:hAnsi="Times New Roman"/>
          <w:sz w:val="13"/>
          <w:szCs w:val="13"/>
          <w:color w:val="008000"/>
        </w:rPr>
      </w:pPr>
    </w:p>
    <w:p>
      <w:pPr>
        <w:jc w:val="both"/>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shares of common stock beneficially owned by the Reporting Person's spouse.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7"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shown reflects the amount owned by the Reporting Person's spouse after the sale of 18,279 shares of common stock on May 20, 2026, pursuant to a 10b5-1 trading plan, at prices ranging from $18.75 to $18.84 per share.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shares of common stock beneficially owned by the Reporting Person's spouse through Securus Risk Management LLC. The Reporting Person disclaims beneficial ownership of these</w:t>
      </w:r>
    </w:p>
    <w:p>
      <w:pPr>
        <w:sectPr>
          <w:pgSz w:w="11900" w:h="16907" w:orient="portrait"/>
          <w:cols w:equalWidth="0" w:num="1">
            <w:col w:w="11000"/>
          </w:cols>
          <w:pgMar w:left="460" w:top="219" w:right="439" w:bottom="0" w:gutter="0" w:footer="0" w:header="0"/>
          <w:type w:val="continuous"/>
        </w:sectPr>
      </w:pPr>
    </w:p>
    <w:bookmarkStart w:id="1" w:name="page2"/>
    <w:bookmarkEnd w:id="1"/>
    <w:p>
      <w:pPr>
        <w:ind w:right="160"/>
        <w:spacing w:after="0" w:line="272" w:lineRule="auto"/>
        <w:rPr>
          <w:sz w:val="20"/>
          <w:szCs w:val="20"/>
          <w:color w:val="auto"/>
        </w:rPr>
      </w:pPr>
      <w:r>
        <w:rPr>
          <w:rFonts w:ascii="Times New Roman" w:cs="Times New Roman" w:eastAsia="Times New Roman" w:hAnsi="Times New Roman"/>
          <w:sz w:val="13"/>
          <w:szCs w:val="13"/>
          <w:color w:val="008000"/>
        </w:rPr>
        <w:t>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8" w:lineRule="exact"/>
        <w:rPr>
          <w:sz w:val="20"/>
          <w:szCs w:val="20"/>
          <w:color w:val="auto"/>
        </w:rPr>
      </w:pPr>
    </w:p>
    <w:p>
      <w:pPr>
        <w:jc w:val="both"/>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shares held through the Emma Cloonen Irrevocable Trust, of which the Reporting Person is the trustee.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20" w:lineRule="exact"/>
        <w:rPr>
          <w:rFonts w:ascii="Times New Roman" w:cs="Times New Roman" w:eastAsia="Times New Roman" w:hAnsi="Times New Roman"/>
          <w:sz w:val="13"/>
          <w:szCs w:val="13"/>
          <w:color w:val="008000"/>
        </w:rPr>
      </w:pPr>
    </w:p>
    <w:p>
      <w:pPr>
        <w:ind w:right="2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shares held through the Ava Cloonen Irrevocable Trust, of which the Reporting Person is the trustee.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37"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Andy Omiridis, Attorney-</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05/22/2026</w:t>
            </w:r>
          </w:p>
        </w:tc>
        <w:tc>
          <w:tcPr>
            <w:tcW w:w="0" w:type="dxa"/>
            <w:vAlign w:val="bottom"/>
          </w:tcPr>
          <w:p>
            <w:pPr>
              <w:spacing w:after="0"/>
              <w:rPr>
                <w:sz w:val="1"/>
                <w:szCs w:val="1"/>
                <w:color w:val="auto"/>
              </w:rPr>
            </w:pPr>
          </w:p>
        </w:tc>
      </w:tr>
      <w:tr>
        <w:trPr>
          <w:trHeight w:val="87"/>
        </w:trPr>
        <w:tc>
          <w:tcPr>
            <w:tcW w:w="166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Bruce Lucas</w:t>
            </w:r>
          </w:p>
        </w:tc>
        <w:tc>
          <w:tcPr>
            <w:tcW w:w="36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60" w:type="dxa"/>
            <w:vAlign w:val="bottom"/>
            <w:tcBorders>
              <w:top w:val="single" w:sz="8" w:color="auto"/>
              <w:bottom w:val="single" w:sz="8" w:color="auto"/>
            </w:tcBorders>
            <w:vMerge w:val="continue"/>
          </w:tcPr>
          <w:p>
            <w:pPr>
              <w:spacing w:after="0"/>
              <w:rPr>
                <w:sz w:val="7"/>
                <w:szCs w:val="7"/>
                <w:color w:val="auto"/>
              </w:rPr>
            </w:pPr>
          </w:p>
        </w:tc>
        <w:tc>
          <w:tcPr>
            <w:tcW w:w="36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80"/>
      </w:cols>
      <w:pgMar w:left="500" w:top="127"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7"/>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52968" TargetMode="External"/><Relationship Id="rId14" Type="http://schemas.openxmlformats.org/officeDocument/2006/relationships/hyperlink" Target="http://www.sec.gov/cgi-bin/browse-edgar?action=getcompany&amp;CIK=0001886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2026-05-22T19:57:49Z</dcterms:created>
  <dcterms:modified xsi:type="dcterms:W3CDTF">2026-05-22T19:57:49Z</dcterms:modified>
</cp:coreProperties>
</file>