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76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762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Bruce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SLIDE INSURANCE HOLDINGS, INC. 4221 W. BOY SCOUT BLVD.,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33607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IIM</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rPr>
              <w:t>192,695</w:t>
            </w:r>
            <w:r>
              <w:rPr>
                <w:rFonts w:ascii="Times New Roman" w:cs="Times New Roman" w:eastAsia="Times New Roman" w:hAnsi="Times New Roman"/>
                <w:sz w:val="22"/>
                <w:szCs w:val="22"/>
                <w:color w:val="008000"/>
                <w:vertAlign w:val="superscript"/>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17.03</w:t>
            </w:r>
            <w:r>
              <w:rPr>
                <w:rFonts w:ascii="Times New Roman" w:cs="Times New Roman" w:eastAsia="Times New Roman" w:hAnsi="Times New Roman"/>
                <w:sz w:val="22"/>
                <w:szCs w:val="22"/>
                <w:color w:val="008000"/>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34,550,666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IIM</w:t>
            </w:r>
          </w:p>
        </w:tc>
        <w:tc>
          <w:tcPr>
            <w:tcW w:w="0" w:type="dxa"/>
            <w:vAlign w:val="bottom"/>
          </w:tcPr>
          <w:p>
            <w:pPr>
              <w:spacing w:after="0"/>
              <w:rPr>
                <w:sz w:val="1"/>
                <w:szCs w:val="1"/>
                <w:color w:val="auto"/>
              </w:rPr>
            </w:pPr>
          </w:p>
        </w:tc>
      </w:tr>
      <w:tr>
        <w:trPr>
          <w:trHeight w:val="213"/>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center"/>
              <w:ind w:right="9"/>
              <w:spacing w:after="0" w:line="213" w:lineRule="exact"/>
              <w:rPr>
                <w:sz w:val="20"/>
                <w:szCs w:val="20"/>
                <w:color w:val="auto"/>
              </w:rPr>
            </w:pPr>
            <w:r>
              <w:rPr>
                <w:rFonts w:ascii="Times New Roman" w:cs="Times New Roman" w:eastAsia="Times New Roman" w:hAnsi="Times New Roman"/>
                <w:sz w:val="17"/>
                <w:szCs w:val="17"/>
                <w:color w:val="0000FF"/>
              </w:rPr>
              <w:t>44,467</w:t>
            </w:r>
            <w:r>
              <w:rPr>
                <w:rFonts w:ascii="Times New Roman" w:cs="Times New Roman" w:eastAsia="Times New Roman" w:hAnsi="Times New Roman"/>
                <w:sz w:val="22"/>
                <w:szCs w:val="22"/>
                <w:color w:val="008000"/>
                <w:vertAlign w:val="superscript"/>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17.12</w:t>
            </w:r>
            <w:r>
              <w:rPr>
                <w:rFonts w:ascii="Times New Roman" w:cs="Times New Roman" w:eastAsia="Times New Roman" w:hAnsi="Times New Roman"/>
                <w:sz w:val="22"/>
                <w:szCs w:val="22"/>
                <w:color w:val="008000"/>
                <w:vertAlign w:val="superscript"/>
              </w:rPr>
              <w:t>(4)</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34,506,199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1,165,345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4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233,900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2C2C2C"/>
            </w:tcBorders>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1,118,756</w:t>
            </w:r>
            <w:r>
              <w:rPr>
                <w:rFonts w:ascii="Times New Roman" w:cs="Times New Roman" w:eastAsia="Times New Roman" w:hAnsi="Times New Roman"/>
                <w:sz w:val="22"/>
                <w:szCs w:val="22"/>
                <w:color w:val="008000"/>
                <w:w w:val="93"/>
                <w:vertAlign w:val="superscript"/>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34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13"/>
        </w:trPr>
        <w:tc>
          <w:tcPr>
            <w:tcW w:w="234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Emma</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Ava</w:t>
            </w:r>
          </w:p>
        </w:tc>
        <w:tc>
          <w:tcPr>
            <w:tcW w:w="0" w:type="dxa"/>
            <w:vAlign w:val="bottom"/>
          </w:tcPr>
          <w:p>
            <w:pPr>
              <w:spacing w:after="0"/>
              <w:rPr>
                <w:sz w:val="1"/>
                <w:szCs w:val="1"/>
                <w:color w:val="auto"/>
              </w:rPr>
            </w:pPr>
          </w:p>
        </w:tc>
      </w:tr>
      <w:tr>
        <w:trPr>
          <w:trHeight w:val="213"/>
        </w:trPr>
        <w:tc>
          <w:tcPr>
            <w:tcW w:w="23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20"/>
        </w:trPr>
        <w:tc>
          <w:tcPr>
            <w:tcW w:w="23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10b5-1 trading plan adopted by the Reporting Person on November 21, 2025. The plan was terminated effective as of the close of business on June 12, 2026.</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$17.00 to $17.13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ectPr>
          <w:pgSz w:w="11900" w:h="16838" w:orient="portrait"/>
          <w:cols w:equalWidth="0" w:num="1">
            <w:col w:w="11000"/>
          </w:cols>
          <w:pgMar w:left="460" w:top="219" w:right="439" w:bottom="0" w:gutter="0" w:footer="0" w:header="0"/>
          <w:type w:val="continuous"/>
        </w:sectPr>
      </w:pPr>
    </w:p>
    <w:bookmarkStart w:id="1" w:name="page2"/>
    <w:bookmarkEnd w:id="1"/>
    <w:p>
      <w:pPr>
        <w:ind w:right="2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$17.10 to $17.23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jc w:val="both"/>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23,717 shares of common stock between June 10 - 11, 2026, pursuant to a 10b5-1 trading plan, at prices ranging from $17.00 to $17.23 per share.</w:t>
      </w:r>
    </w:p>
    <w:p>
      <w:pPr>
        <w:spacing w:after="0" w:line="7"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Securus Risk Management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right="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Andy Omiridis,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Bruce Lucas</w:t>
            </w:r>
          </w:p>
        </w:tc>
        <w:tc>
          <w:tcPr>
            <w:tcW w:w="3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2968"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2026-06-12T17:06:45Z</dcterms:created>
  <dcterms:modified xsi:type="dcterms:W3CDTF">2026-06-12T17:06:45Z</dcterms:modified>
</cp:coreProperties>
</file>