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Bruce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Slide Insurance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4221 W. Boy Scout Blvd.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Tampa, FL 33607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Slide Insurance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Draft 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 22,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0001886428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Bruce Lucas: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respond to this letter by providing the requested information and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submitting an amended draft registration statement or publicly filing your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EDGAR. If you do not believe a comment applies to your facts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any references to prior comments are to comments 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September 20, 2024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91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Draft Registration Statement on Form S-1 Prospectus Summary, page 1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1, as well as your revised disclosure on page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6, which indicates that you intend to close the acquisition of Pawtucket Insurance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("PIC") prior to the consummation of your securities offering. Please tell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your consideration of including pro forma financial statements, according to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in Rule 11-01 of Regulation S-X, and financial statements of PIC, according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guidance in Rule 3-05 of Regulation S-X, in your filing.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on page 3 that, "[w]ith the exception of hurricane claims,"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manage all aspects of the claims process in-house. Please revise to indicate the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21,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 percentage of claims that relate to hurricanes.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8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how you use the term "commercial residential" in describing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page 78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on pages 78 and 82 which describe your assumed policies</w:t>
      </w:r>
    </w:p>
    <w:p>
      <w:pPr>
        <w:ind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Citizens and your acquired policies from St. Johns Insurance Company, United</w:t>
      </w:r>
    </w:p>
    <w:p>
      <w:pPr>
        <w:ind w:right="2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&amp; Casualty Insurance Company, and Truck Insurance Exchange. Please tell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how you considered whether historical financial information about the acquired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assumed blocks of insurance policies is necessary for investors to understand your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operations. Please include, but do not limit your analysis to, your consideration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guidance in Rule 11-01(d) of Regulation S-X. If you determine that historical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 about the acquired and assumed blocks of insurance policies is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necessary, please describe the nature of such information that you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would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an understanding of your future operations.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disclose, within the tables and related discussion on pages 78 and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in the filing, the rate of renewals on your acquired and assumed policies for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reporting period presented. Please provide these renewal rates disaggregated by</w:t>
      </w:r>
    </w:p>
    <w:p>
      <w:pPr>
        <w:ind w:right="27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 of policy (e.g., Citizens Policies, UPC Policies, Organic Policies, etc.).</w:t>
      </w:r>
    </w:p>
    <w:p>
      <w:pPr>
        <w:ind w:right="1919" w:firstLine="8"/>
        <w:spacing w:after="0" w:line="238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increase in net premiums written in the nine months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September 30, 2024, was, among other reasons, a result of the acquisition and</w:t>
      </w:r>
    </w:p>
    <w:p>
      <w:pPr>
        <w:ind w:left="640" w:right="19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subsequent renewals of Florida homeowners' policies from Truck Insurance Exchange, a subsidiary of Farmers Insurance Company, Inc. ("Farmers").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the Farmers Policies are reflected in the "New policies written" row in your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on page 78, when you describe these as acquired policies. Please revise your</w:t>
      </w:r>
    </w:p>
    <w:p>
      <w:pPr>
        <w:ind w:right="7279" w:firstLine="632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as needed. Expenses, page 79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83, which identifies and quantifies catastrophe losses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your amount of losses and loss adjustment expenses incurred, net, for the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years ended December 31, 2023 and 2022. Please revise your disclosure on page 79,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elsewhere in the filing, to provide a similar quantification and discussion of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catastrophe losses recognized in the nine months ended September 30, 2024 and 2023,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well as a discussion of the timing and specific events driving the majority of</w:t>
      </w:r>
    </w:p>
    <w:p>
      <w:pPr>
        <w:ind w:right="4119" w:firstLine="632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catastrophe losses recognized during these periods. Consolidated Balance Sheets, page F-2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presentation on the face of the balance sheet, of both the annual and</w:t>
      </w:r>
    </w:p>
    <w:p>
      <w:pPr>
        <w:ind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financial statements, to include the number of issued and outstanding shares of</w:t>
      </w:r>
    </w:p>
    <w:p>
      <w:pPr>
        <w:ind w:left="120" w:right="3399" w:firstLine="52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stock. Please refer to Rule 5-02 of Regulation S-X. February 21,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Consolidated Financial Statements for the nine months ended September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Nature of Business and Significant Accounting Policies, page F-7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F-8 of the number of issued and outstanding shares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common stock and preferred stock as of December 31, 2023 and 2022.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filing to provide the number of issued and outstanding shares as of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balance sheet dates in your interim financial statements. Notes to Consolidated Financial Statements for the years ended December 31, 2023 and 2022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Business and Significant Accounting Policies, page F-28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 and reissue. We note that your response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describes the accounting for the policies assumed from Citizens as reinsurance.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we also note that you have certain acquired policies, such as those from St.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Johns Insurance Company, United Property &amp; Casualty Insurance Company ("UPC"),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Farmers. Please describe your accounting policy for the acquired insurance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policies, including, for example:</w:t>
      </w:r>
    </w:p>
    <w:p>
      <w:pPr>
        <w:ind w:right="18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policies are acquired on a prospective basis, similar to the policies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 from Citizens;</w:t>
      </w:r>
    </w:p>
    <w:p>
      <w:pPr>
        <w:ind w:right="297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assets or liabilities that you initially recognize at acquisition, and how they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measured;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consideration is exchanged for the acquired policies;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019" w:firstLine="115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account for any difference that may exist between the fair value of the</w:t>
      </w:r>
    </w:p>
    <w:p>
      <w:pPr>
        <w:ind w:right="23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policies and the amount that you initially measure and recognize on your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at acquisition.</w:t>
      </w:r>
    </w:p>
    <w:p>
      <w:pPr>
        <w:ind w:right="307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as appropriate and tell us the authoritative guidance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which you relied.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25. Variable Interest Entities, page F-62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of $107.2 million and $51.9 million at December 31, 2023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2022, respectively, of restricted cash and cash equivalents held by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variable interest entity ("VIE"), which "can be used only to settle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reinsurance obligations of the VIE as of the dates presented." Please revise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presentation on the face of the balance sheet to separately present, and clearly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label, these amounts. Please refer to ASC 810-10-45-25.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revised disclosure regarding the Substantial Ownership Requirement. Please</w:t>
      </w:r>
    </w:p>
    <w:p>
      <w:pPr>
        <w:ind w:right="30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such references to include the pertinent quantitative threshold(s). Additionally,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the document(s) and specific provision(s) establishing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Katharine Garrett at 202-551-2332 or Lory Empie at 202-551-3714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 contact Aisha Adegbuyi at 202-551-8754 or James Lopez at 202-551-3536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21, 2025 Page 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Richard D. Truesdell, Jr.,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EB141F2"/>
    <w:multiLevelType w:val="hybridMultilevel"/>
    <w:lvl w:ilvl="0">
      <w:lvlJc w:val="left"/>
      <w:lvlText w:val="%1"/>
      <w:numFmt w:val="decimal"/>
      <w:start w:val="82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0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1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2025-09-26T23:10:43Z</dcterms:created>
  <dcterms:modified xsi:type="dcterms:W3CDTF">2025-09-26T23:10:43Z</dcterms:modified>
</cp:coreProperties>
</file>